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ED" w:rsidRPr="004C6D87" w:rsidRDefault="006B5D2B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C6D87">
        <w:rPr>
          <w:rFonts w:asciiTheme="minorHAnsi" w:hAnsiTheme="minorHAnsi" w:cstheme="minorHAnsi"/>
          <w:sz w:val="20"/>
          <w:szCs w:val="20"/>
        </w:rPr>
        <w:t xml:space="preserve">Załącznik  do </w:t>
      </w:r>
    </w:p>
    <w:p w:rsidR="00E261ED" w:rsidRPr="004C6D87" w:rsidRDefault="006B5D2B">
      <w:pPr>
        <w:jc w:val="right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sz w:val="20"/>
          <w:szCs w:val="20"/>
        </w:rPr>
        <w:t>Zarządzenia Nr 0050.652.2023</w:t>
      </w:r>
    </w:p>
    <w:p w:rsidR="00E261ED" w:rsidRPr="004C6D87" w:rsidRDefault="006B5D2B">
      <w:pPr>
        <w:jc w:val="right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sz w:val="20"/>
          <w:szCs w:val="20"/>
        </w:rPr>
        <w:t>Burmistrza Miasta Cieszyna</w:t>
      </w:r>
    </w:p>
    <w:p w:rsidR="00E261ED" w:rsidRPr="004C6D87" w:rsidRDefault="006B5D2B">
      <w:pPr>
        <w:jc w:val="right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sz w:val="20"/>
          <w:szCs w:val="20"/>
        </w:rPr>
        <w:t>z dnia 20 listopada 2023 roku</w:t>
      </w:r>
    </w:p>
    <w:p w:rsidR="00E261ED" w:rsidRPr="004C6D87" w:rsidRDefault="00E261ED">
      <w:pPr>
        <w:jc w:val="center"/>
        <w:rPr>
          <w:rFonts w:asciiTheme="minorHAnsi" w:hAnsiTheme="minorHAnsi" w:cstheme="minorHAnsi"/>
          <w:sz w:val="22"/>
        </w:rPr>
      </w:pPr>
    </w:p>
    <w:p w:rsidR="00E261ED" w:rsidRPr="004C6D87" w:rsidRDefault="006B5D2B">
      <w:pPr>
        <w:jc w:val="center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/>
          <w:bCs/>
          <w:smallCaps/>
        </w:rPr>
        <w:t>Ogłoszenie otwartego konkursu ofert</w:t>
      </w:r>
    </w:p>
    <w:p w:rsidR="00E261ED" w:rsidRPr="004C6D87" w:rsidRDefault="006B5D2B">
      <w:pPr>
        <w:jc w:val="center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/>
          <w:bCs/>
          <w:smallCaps/>
        </w:rPr>
        <w:t>na realizację zadań publicznych gminy Cieszyn na rok 2024</w:t>
      </w:r>
    </w:p>
    <w:p w:rsidR="00E261ED" w:rsidRPr="004C6D87" w:rsidRDefault="006B5D2B">
      <w:pPr>
        <w:jc w:val="center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/>
          <w:bCs/>
          <w:smallCaps/>
        </w:rPr>
        <w:t>z zakresu nauki, edukacji, oświaty i wychowania</w:t>
      </w:r>
    </w:p>
    <w:p w:rsidR="00E261ED" w:rsidRPr="004C6D87" w:rsidRDefault="00E261ED">
      <w:pPr>
        <w:jc w:val="center"/>
        <w:rPr>
          <w:rFonts w:asciiTheme="minorHAnsi" w:hAnsiTheme="minorHAnsi" w:cstheme="minorHAnsi"/>
          <w:sz w:val="22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Rodzaj zadania:</w:t>
      </w:r>
    </w:p>
    <w:p w:rsidR="00E261ED" w:rsidRPr="004C6D87" w:rsidRDefault="006B5D2B">
      <w:pPr>
        <w:pStyle w:val="Nagwek1"/>
        <w:spacing w:line="360" w:lineRule="auto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Nauka, edukacja, oświata i wychowanie, w tym: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/>
          <w:bCs/>
        </w:rPr>
        <w:tab/>
      </w:r>
      <w:r w:rsidRPr="004C6D87">
        <w:rPr>
          <w:rFonts w:asciiTheme="minorHAnsi" w:hAnsiTheme="minorHAnsi" w:cstheme="minorHAnsi"/>
        </w:rPr>
        <w:t>1)  działania zmierzające do wyrównywania szans  edukacyjnych dzieci i młodzieży,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</w:r>
      <w:r w:rsidRPr="004C6D87">
        <w:rPr>
          <w:rFonts w:asciiTheme="minorHAnsi" w:eastAsia="Arial" w:hAnsiTheme="minorHAnsi" w:cstheme="minorHAnsi"/>
        </w:rPr>
        <w:t>2</w:t>
      </w:r>
      <w:r w:rsidRPr="004C6D87">
        <w:rPr>
          <w:rFonts w:asciiTheme="minorHAnsi" w:hAnsiTheme="minorHAnsi" w:cstheme="minorHAnsi"/>
        </w:rPr>
        <w:t>) działania zmierzające do utrzymania aktywności edukacyjnej dorosłych,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>3) działania na rzecz nauki, oświaty i wychowania,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>4) kształtowanie kompetencji międzykulturowych,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 xml:space="preserve">5) kształtowanie aktywnego uczestnictwa w kulturze, rozwijania kompetencji </w:t>
      </w:r>
      <w:r w:rsidRPr="004C6D87">
        <w:rPr>
          <w:rFonts w:asciiTheme="minorHAnsi" w:hAnsiTheme="minorHAnsi" w:cstheme="minorHAnsi"/>
        </w:rPr>
        <w:tab/>
        <w:t>komunikacyjnych uczennic i uczniów,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>6) wpieranie idei rozwoju samorządności uczniowskiej w szkołach,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>7) wspieranie kreatywności i innowacyjności poprzez alternatywne formy edukacji,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  <w:t xml:space="preserve">8) wspieranie działań wzmacniających lokalną tożsamość wśród uczennic i uczniów- </w:t>
      </w:r>
      <w:r w:rsidRPr="004C6D87">
        <w:rPr>
          <w:rFonts w:asciiTheme="minorHAnsi" w:hAnsiTheme="minorHAnsi" w:cstheme="minorHAnsi"/>
        </w:rPr>
        <w:tab/>
        <w:t>rozwój edukacji regionalnej.</w:t>
      </w:r>
    </w:p>
    <w:p w:rsidR="00E261ED" w:rsidRPr="004C6D87" w:rsidRDefault="00E261ED">
      <w:pPr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Cel zadania:</w:t>
      </w:r>
    </w:p>
    <w:p w:rsidR="00E261ED" w:rsidRPr="004C6D87" w:rsidRDefault="006B5D2B">
      <w:pPr>
        <w:tabs>
          <w:tab w:val="left" w:pos="10080"/>
        </w:tabs>
        <w:ind w:left="68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Celem zadania jest aktywizacja organizacji pozarządowych, jej działaczy                             i wolontariuszy w zakresie nauki, edukacji, oświaty i wychowania realizowana poprzez prowadzenie działań zapewniających rozwój edukacyjny mieszkańców Cieszyna.</w:t>
      </w:r>
    </w:p>
    <w:p w:rsidR="00E261ED" w:rsidRPr="004C6D87" w:rsidRDefault="00E261ED">
      <w:pPr>
        <w:tabs>
          <w:tab w:val="left" w:pos="10080"/>
        </w:tabs>
        <w:ind w:left="1080"/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Wysokość środków publicznych przeznaczonych na realizację zadania: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ab/>
      </w:r>
      <w:r w:rsidRPr="004C6D87">
        <w:rPr>
          <w:rFonts w:asciiTheme="minorHAnsi" w:hAnsiTheme="minorHAnsi" w:cstheme="minorHAnsi"/>
          <w:b/>
          <w:bCs/>
        </w:rPr>
        <w:t xml:space="preserve"> 10.000 zł</w:t>
      </w:r>
    </w:p>
    <w:p w:rsidR="00E261ED" w:rsidRPr="004C6D87" w:rsidRDefault="00E261ED">
      <w:pPr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Zasady przyznawania dotacji:</w:t>
      </w:r>
    </w:p>
    <w:p w:rsidR="00E261ED" w:rsidRPr="004C6D87" w:rsidRDefault="006B5D2B">
      <w:pPr>
        <w:pStyle w:val="Tekstpodstawowywcity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Zlecenie realizacji zadania publicznego  następuje w formie wspierania jego wykonania, zgodnie z następującymi zasadami:</w:t>
      </w:r>
    </w:p>
    <w:p w:rsidR="00E261ED" w:rsidRPr="004C6D87" w:rsidRDefault="006B5D2B">
      <w:pPr>
        <w:pStyle w:val="Tekstpodstawowywcity"/>
        <w:numPr>
          <w:ilvl w:val="0"/>
          <w:numId w:val="4"/>
        </w:numPr>
        <w:ind w:left="1077" w:hanging="397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wysokość dotacji nie może przekroczyć 80% ogólnych kosztów realizacji zadania,</w:t>
      </w:r>
    </w:p>
    <w:p w:rsidR="00E261ED" w:rsidRPr="004C6D87" w:rsidRDefault="006B5D2B">
      <w:pPr>
        <w:numPr>
          <w:ilvl w:val="0"/>
          <w:numId w:val="4"/>
        </w:numPr>
        <w:ind w:left="1020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>zleceniobiorca zapewnia pokrycie minimum 20% ogólnych kosztów realizacji zadania ze środków finansowych własnych, środków pieniężnych od odbiorców oraz wkładu niefinansowego (osobowego), przy czym minimum 15% ogólnych kosztów realizacji zadania powinno zostać pokryte z wkładu finansowego,</w:t>
      </w:r>
    </w:p>
    <w:p w:rsidR="00E261ED" w:rsidRPr="004C6D87" w:rsidRDefault="006B5D2B">
      <w:pPr>
        <w:numPr>
          <w:ilvl w:val="0"/>
          <w:numId w:val="4"/>
        </w:numPr>
        <w:ind w:left="964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>wysokość wydatków przeznaczonych na koszty administracyjne nie może przekroczyć 20 % całkowitych kosztów zadania.</w:t>
      </w:r>
    </w:p>
    <w:p w:rsidR="00E261ED" w:rsidRPr="004C6D87" w:rsidRDefault="00E261ED">
      <w:pPr>
        <w:pStyle w:val="Tekstpodstawowywcity"/>
        <w:ind w:left="454"/>
        <w:jc w:val="both"/>
        <w:rPr>
          <w:rFonts w:asciiTheme="minorHAnsi" w:hAnsiTheme="minorHAnsi" w:cstheme="minorHAnsi"/>
          <w:b w:val="0"/>
        </w:rPr>
      </w:pPr>
    </w:p>
    <w:p w:rsidR="00E261ED" w:rsidRPr="004C6D87" w:rsidRDefault="006B5D2B">
      <w:pPr>
        <w:pStyle w:val="Tekstpodstawowywcity"/>
        <w:ind w:left="624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Warunkiem przyjęcia i rozpatrzenia ofert jest:</w:t>
      </w:r>
    </w:p>
    <w:p w:rsidR="00E261ED" w:rsidRPr="004C6D87" w:rsidRDefault="006B5D2B">
      <w:pPr>
        <w:pStyle w:val="Tekstpodstawowywcity"/>
        <w:ind w:left="624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1)  złożenie kompletnej oferty w postaci elektronicznej,</w:t>
      </w:r>
    </w:p>
    <w:p w:rsidR="00E261ED" w:rsidRPr="004C6D87" w:rsidRDefault="006B5D2B">
      <w:pPr>
        <w:pStyle w:val="Tekstpodstawowywcity"/>
        <w:ind w:left="624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2) złożenie wydrukowanego i prawidłowo podpisanego potwierdzenia złożenia oferty (nie  dopuszczalne jest złożenie wersji roboczej oferty) przez podmiot uprawniony do składania ofert,</w:t>
      </w:r>
    </w:p>
    <w:p w:rsidR="00E261ED" w:rsidRPr="004C6D87" w:rsidRDefault="006B5D2B">
      <w:pPr>
        <w:pStyle w:val="Tekstpodstawowywcity"/>
        <w:ind w:left="624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3) złożenie oświadczenia o sposobie rozliczania podatku VAT,</w:t>
      </w:r>
    </w:p>
    <w:p w:rsidR="00E261ED" w:rsidRPr="004C6D87" w:rsidRDefault="006B5D2B">
      <w:pPr>
        <w:pStyle w:val="Tekstpodstawowywcity"/>
        <w:ind w:left="624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4) złożenie w/w potwierdzenia i oświadczenia w odpowiednim terminie i miejscu.</w:t>
      </w:r>
    </w:p>
    <w:p w:rsidR="00E261ED" w:rsidRPr="004C6D87" w:rsidRDefault="006B5D2B">
      <w:pPr>
        <w:pStyle w:val="Tekstpodstawowywcity"/>
        <w:ind w:left="397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lastRenderedPageBreak/>
        <w:tab/>
        <w:t xml:space="preserve">Prawidłowo złożone oferty staną się przedmiotem opinii komisji konkursowej, co </w:t>
      </w:r>
      <w:r w:rsidRPr="004C6D87">
        <w:rPr>
          <w:rFonts w:asciiTheme="minorHAnsi" w:hAnsiTheme="minorHAnsi" w:cstheme="minorHAnsi"/>
          <w:b w:val="0"/>
        </w:rPr>
        <w:tab/>
        <w:t xml:space="preserve">będzie podstawą wyboru przez Burmistrza Miasta ofert, na które zostanie przyznana </w:t>
      </w:r>
      <w:r w:rsidRPr="004C6D87">
        <w:rPr>
          <w:rFonts w:asciiTheme="minorHAnsi" w:hAnsiTheme="minorHAnsi" w:cstheme="minorHAnsi"/>
          <w:b w:val="0"/>
        </w:rPr>
        <w:tab/>
        <w:t>dotacja.</w:t>
      </w:r>
    </w:p>
    <w:p w:rsidR="00E261ED" w:rsidRPr="004C6D87" w:rsidRDefault="00E261ED">
      <w:pPr>
        <w:pStyle w:val="Tekstpodstawowywcity"/>
        <w:jc w:val="both"/>
        <w:rPr>
          <w:rFonts w:asciiTheme="minorHAnsi" w:hAnsiTheme="minorHAnsi" w:cstheme="minorHAnsi"/>
          <w:b w:val="0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Termin i warunki realizacji zadania:</w:t>
      </w:r>
    </w:p>
    <w:p w:rsidR="00E261ED" w:rsidRPr="004C6D87" w:rsidRDefault="006B5D2B">
      <w:pPr>
        <w:pStyle w:val="Tekstpodstawowywcity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 w:val="0"/>
        </w:rPr>
        <w:t>Zadania, na które przyznana zostanie dotacja muszą zostać zrealizowane pomiędzy                1 stycznia 2024 roku a 31 grudnia 2024 roku na terenie gminy Cieszyn.</w:t>
      </w:r>
    </w:p>
    <w:p w:rsidR="00E261ED" w:rsidRPr="004C6D87" w:rsidRDefault="006B5D2B">
      <w:pPr>
        <w:ind w:left="708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 xml:space="preserve">Zadania muszą zostać zrealizowane zgodnie z warunkami, określonymi w niniejszym ogłoszeniu, w umowie o zleceniu realizacji zadania, określającej w szczególności: miejsce i czas realizacji zadania, sposób przekazywania i rozliczania środków publicznych, </w:t>
      </w:r>
      <w:r w:rsidRPr="004C6D87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sposób informowania przez beneficjenta o dofinansowaniu zadania ze środków Miasta Cieszyna oraz sposób przekazywania informacji zapowiadających                     i podsumowujących zadanie, powszechnie obowiązującymi przepisami prawa.</w:t>
      </w:r>
    </w:p>
    <w:p w:rsidR="00E261ED" w:rsidRPr="004C6D87" w:rsidRDefault="00E261ED">
      <w:pPr>
        <w:ind w:left="708"/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ind w:left="708"/>
        <w:jc w:val="both"/>
        <w:rPr>
          <w:rFonts w:asciiTheme="minorHAnsi" w:hAnsiTheme="minorHAnsi" w:cstheme="minorHAnsi"/>
        </w:rPr>
      </w:pPr>
      <w:r w:rsidRPr="004C6D87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Zleceniobiorcy przy planowaniu i realizacji zadania muszą brać pod uwagę możliwe ograniczenia wynikające z przepisów związanych z występowaniem stanu zagrożenia epidemicznego lub stanu epidemii oraz wymagań sanitarno- epidemiologicznych                  z tym związanych. </w:t>
      </w:r>
    </w:p>
    <w:p w:rsidR="00E261ED" w:rsidRPr="004C6D87" w:rsidRDefault="00E261ED">
      <w:pPr>
        <w:ind w:left="708"/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ind w:left="708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  <w:color w:val="000000"/>
          <w:u w:val="single"/>
        </w:rPr>
        <w:t>Warunki dostępności:</w:t>
      </w:r>
    </w:p>
    <w:p w:rsidR="00E261ED" w:rsidRPr="004C6D87" w:rsidRDefault="006B5D2B">
      <w:pPr>
        <w:ind w:left="708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  <w:color w:val="000000"/>
        </w:rPr>
        <w:t>Oferent  w ramach realizacji zadania jest zobowiązany do zapewnienia dostępności osobom ze szczególnymi potrzebami, zgodnie z tematyką zadania publicznego, w zakresie określonym w art. 6 ustawy z dnia 19 lipca 2019 r. o zapewnianiu  dostępności osobom ze szczególnymi potrzebami.</w:t>
      </w:r>
    </w:p>
    <w:p w:rsidR="00E261ED" w:rsidRPr="004C6D87" w:rsidRDefault="006B5D2B">
      <w:pPr>
        <w:ind w:left="708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  <w:color w:val="000000"/>
        </w:rPr>
        <w:t>W indywidualnym przypadku, jeżeli oferent nie jest w stanie, w szczególności ze względów technicznych lub prawnych, zapewnić dostępności osobom ze szczególnymi potrzebami w zakresie, o których mowa w art. 6 ustawy, podmiot jest obowiązany zapewnić takiej osobie dostęp alternatywny, o którym mowa w art. 7 ustawy z dnia 19 lipca 2019 r. o zapewnieniu dostępności osobom ze szczególnymi potrzebami.</w:t>
      </w:r>
    </w:p>
    <w:p w:rsidR="00E261ED" w:rsidRPr="004C6D87" w:rsidRDefault="00E261ED">
      <w:pPr>
        <w:ind w:left="708"/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ind w:left="68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  <w:u w:val="single"/>
        </w:rPr>
        <w:t>Warunki wydatkowania środków:</w:t>
      </w:r>
    </w:p>
    <w:p w:rsidR="00E261ED" w:rsidRPr="004C6D87" w:rsidRDefault="006B5D2B">
      <w:pPr>
        <w:ind w:left="68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>Środki finansowe własne, środki pieniężne od odbiorców oraz wkład osobowy                     mogą zostać poniesione przed podpisaniem umowy, ale nie wcześniej niż przed datą rozpoczęcia realizacji zadania.</w:t>
      </w:r>
    </w:p>
    <w:p w:rsidR="00E261ED" w:rsidRPr="004C6D87" w:rsidRDefault="006B5D2B">
      <w:pPr>
        <w:ind w:left="68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>Środki finansowe z dotacji mogą zostać wydatkowane dopiero po podpisaniu umowy.</w:t>
      </w:r>
    </w:p>
    <w:p w:rsidR="00E261ED" w:rsidRPr="004C6D87" w:rsidRDefault="006B5D2B">
      <w:pPr>
        <w:ind w:left="68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>Dopuszcza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E261ED" w:rsidRPr="004C6D87" w:rsidRDefault="00E261ED">
      <w:pPr>
        <w:rPr>
          <w:rFonts w:asciiTheme="minorHAnsi" w:hAnsiTheme="minorHAnsi" w:cstheme="minorHAnsi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Termin składania ofert: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ab/>
      </w:r>
      <w:r w:rsidRPr="004C6D87">
        <w:rPr>
          <w:rFonts w:asciiTheme="minorHAnsi" w:hAnsiTheme="minorHAnsi" w:cstheme="minorHAnsi"/>
          <w:bCs/>
          <w:color w:val="000000"/>
        </w:rPr>
        <w:t xml:space="preserve">Oferty składać należy w terminie do dnia </w:t>
      </w:r>
      <w:r w:rsidRPr="004C6D87">
        <w:rPr>
          <w:rFonts w:asciiTheme="minorHAnsi" w:hAnsiTheme="minorHAnsi" w:cstheme="minorHAnsi"/>
          <w:b/>
          <w:bCs/>
          <w:color w:val="000000"/>
        </w:rPr>
        <w:t>13 grudnia 2023 r., do godz. 15.30,</w:t>
      </w:r>
      <w:r w:rsidRPr="004C6D87">
        <w:rPr>
          <w:rFonts w:asciiTheme="minorHAnsi" w:hAnsiTheme="minorHAnsi" w:cstheme="minorHAnsi"/>
          <w:bCs/>
          <w:color w:val="000000"/>
        </w:rPr>
        <w:t xml:space="preserve"> na </w:t>
      </w:r>
      <w:r w:rsidRPr="004C6D87">
        <w:rPr>
          <w:rFonts w:asciiTheme="minorHAnsi" w:hAnsiTheme="minorHAnsi" w:cstheme="minorHAnsi"/>
          <w:bCs/>
          <w:color w:val="000000"/>
        </w:rPr>
        <w:tab/>
        <w:t xml:space="preserve">druku </w:t>
      </w:r>
      <w:r w:rsidRPr="004C6D87">
        <w:rPr>
          <w:rFonts w:asciiTheme="minorHAnsi" w:hAnsiTheme="minorHAnsi" w:cstheme="minorHAnsi"/>
          <w:color w:val="000000"/>
        </w:rPr>
        <w:t xml:space="preserve">zgodnym z </w:t>
      </w:r>
      <w:r w:rsidRPr="004C6D87">
        <w:rPr>
          <w:rFonts w:asciiTheme="minorHAnsi" w:hAnsiTheme="minorHAnsi" w:cstheme="minorHAnsi"/>
          <w:bCs/>
        </w:rPr>
        <w:t xml:space="preserve"> rozporządzeniem Przewodniczącego Komitetu do spraw Pożytku </w:t>
      </w:r>
      <w:r w:rsidRPr="004C6D87">
        <w:rPr>
          <w:rFonts w:asciiTheme="minorHAnsi" w:hAnsiTheme="minorHAnsi" w:cstheme="minorHAnsi"/>
          <w:bCs/>
        </w:rPr>
        <w:tab/>
        <w:t xml:space="preserve">Publicznego z dnia 24 października 2018 roku  w sprawie wzorów ofert i ramowych </w:t>
      </w:r>
      <w:r w:rsidRPr="004C6D87">
        <w:rPr>
          <w:rFonts w:asciiTheme="minorHAnsi" w:hAnsiTheme="minorHAnsi" w:cstheme="minorHAnsi"/>
          <w:bCs/>
        </w:rPr>
        <w:tab/>
        <w:t xml:space="preserve">wzorów ofert i ramowych wzorów  umów dotyczących realizacji zadań publicznych </w:t>
      </w:r>
      <w:r w:rsidRPr="004C6D87">
        <w:rPr>
          <w:rFonts w:asciiTheme="minorHAnsi" w:hAnsiTheme="minorHAnsi" w:cstheme="minorHAnsi"/>
          <w:bCs/>
        </w:rPr>
        <w:tab/>
        <w:t xml:space="preserve">oraz  wzorów sprawozdań   z wykonania tych zadań (Dz.U. z 2018 r., poz. 2057) </w:t>
      </w:r>
      <w:r w:rsidRPr="004C6D87">
        <w:rPr>
          <w:rFonts w:asciiTheme="minorHAnsi" w:hAnsiTheme="minorHAnsi" w:cstheme="minorHAnsi"/>
          <w:bCs/>
        </w:rPr>
        <w:tab/>
        <w:t xml:space="preserve">wyłącznie  poprzez platformę  elektroniczną  </w:t>
      </w:r>
      <w:hyperlink r:id="rId7" w:history="1">
        <w:r w:rsidRPr="004C6D87">
          <w:rPr>
            <w:rStyle w:val="Hipercze"/>
            <w:rFonts w:asciiTheme="minorHAnsi" w:hAnsiTheme="minorHAnsi" w:cstheme="minorHAnsi"/>
            <w:bCs/>
            <w:color w:val="auto"/>
          </w:rPr>
          <w:t>www.engo</w:t>
        </w:r>
      </w:hyperlink>
      <w:hyperlink r:id="rId8" w:history="1">
        <w:r w:rsidRPr="004C6D87">
          <w:rPr>
            <w:rStyle w:val="Hipercze"/>
            <w:rFonts w:asciiTheme="minorHAnsi" w:hAnsiTheme="minorHAnsi" w:cstheme="minorHAnsi"/>
            <w:color w:val="auto"/>
          </w:rPr>
          <w:t>.org.pl</w:t>
        </w:r>
      </w:hyperlink>
      <w:r w:rsidRPr="004C6D87">
        <w:rPr>
          <w:rFonts w:asciiTheme="minorHAnsi" w:hAnsiTheme="minorHAnsi" w:cstheme="minorHAnsi"/>
          <w:u w:val="single"/>
        </w:rPr>
        <w:t>.</w:t>
      </w:r>
      <w:r w:rsidRPr="004C6D87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 Równocześnie oferent  dostarczy do  Kancelarii Ogólnej  Urzędu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Miejskiego w 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Cieszynie lub listownie na 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adres: Urząd </w:t>
      </w:r>
      <w:r w:rsidRPr="004C6D87">
        <w:rPr>
          <w:rStyle w:val="Hipercze"/>
          <w:rFonts w:asciiTheme="minorHAnsi" w:hAnsiTheme="minorHAnsi" w:cstheme="minorHAnsi"/>
          <w:color w:val="000000"/>
          <w:u w:val="none"/>
        </w:rPr>
        <w:t xml:space="preserve">Miejski, Rynek 1, 43-400 </w:t>
      </w:r>
      <w:r w:rsidRPr="004C6D87">
        <w:rPr>
          <w:rStyle w:val="Hipercze"/>
          <w:rFonts w:asciiTheme="minorHAnsi" w:hAnsiTheme="minorHAnsi" w:cstheme="minorHAnsi"/>
          <w:color w:val="000000"/>
          <w:u w:val="none"/>
        </w:rPr>
        <w:tab/>
        <w:t xml:space="preserve">Cieszyn lub </w:t>
      </w:r>
      <w:r w:rsidRPr="004C6D87">
        <w:rPr>
          <w:rStyle w:val="Hipercze"/>
          <w:rFonts w:asciiTheme="minorHAnsi" w:hAnsiTheme="minorHAnsi" w:cstheme="minorHAnsi"/>
          <w:color w:val="000000"/>
          <w:u w:val="none"/>
        </w:rPr>
        <w:tab/>
        <w:t>poprzez elektroniczną skrzynkę podawczą- ePUAP: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1)   potwierdzenie  złożenia oferty wydrukowane 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z generatora i podpisane 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 xml:space="preserve">przez </w:t>
      </w:r>
      <w:r w:rsidRPr="004C6D87">
        <w:rPr>
          <w:rStyle w:val="Hipercze"/>
          <w:rFonts w:asciiTheme="minorHAnsi" w:hAnsiTheme="minorHAnsi" w:cstheme="minorHAnsi"/>
          <w:color w:val="auto"/>
          <w:u w:val="none"/>
        </w:rPr>
        <w:tab/>
        <w:t>osoby   uprawnione do składania oświadczeń woli w imieniu organizacji pozarządowej</w:t>
      </w:r>
      <w:r w:rsidRPr="004C6D87">
        <w:rPr>
          <w:rFonts w:asciiTheme="minorHAnsi" w:hAnsiTheme="minorHAnsi" w:cstheme="minorHAnsi"/>
        </w:rPr>
        <w:t xml:space="preserve"> </w:t>
      </w:r>
    </w:p>
    <w:p w:rsidR="00E261ED" w:rsidRPr="004C6D87" w:rsidRDefault="006B5D2B">
      <w:pPr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color w:val="000000"/>
        </w:rPr>
        <w:tab/>
        <w:t>2) oświadczenie o sposobie rozliczania podatku VAT.</w:t>
      </w:r>
    </w:p>
    <w:p w:rsidR="00E261ED" w:rsidRPr="004C6D87" w:rsidRDefault="006B5D2B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ab/>
        <w:t>W przypadku ofert wysyłanych pocztą, decyduje data wpływu oferty do Urzędu.</w:t>
      </w:r>
    </w:p>
    <w:p w:rsidR="00E261ED" w:rsidRPr="004C6D87" w:rsidRDefault="006B5D2B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bCs/>
        </w:rPr>
        <w:t xml:space="preserve">     </w:t>
      </w:r>
    </w:p>
    <w:p w:rsidR="00E261ED" w:rsidRPr="004C6D87" w:rsidRDefault="006B5D2B">
      <w:pPr>
        <w:numPr>
          <w:ilvl w:val="0"/>
          <w:numId w:val="2"/>
        </w:numPr>
        <w:tabs>
          <w:tab w:val="left" w:pos="10080"/>
          <w:tab w:val="left" w:pos="1440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  <w:u w:val="single"/>
        </w:rPr>
        <w:t>Termin, tryb i kryteria stosowane przy wyborze ofert:</w:t>
      </w:r>
    </w:p>
    <w:p w:rsidR="00E261ED" w:rsidRPr="004C6D87" w:rsidRDefault="006B5D2B">
      <w:pPr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termin: wybór ofert dokonany zostanie do dnia</w:t>
      </w:r>
      <w:r w:rsidRPr="004C6D87">
        <w:rPr>
          <w:rFonts w:asciiTheme="minorHAnsi" w:hAnsiTheme="minorHAnsi" w:cstheme="minorHAnsi"/>
          <w:b/>
          <w:bCs/>
        </w:rPr>
        <w:t xml:space="preserve"> 29 grudnia 2023 roku;</w:t>
      </w:r>
    </w:p>
    <w:p w:rsidR="00E261ED" w:rsidRPr="004C6D87" w:rsidRDefault="006B5D2B">
      <w:pPr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tryb: wyboru ofert dokona Burmistrz Miasta Cieszyna, na podstawie  opinii dotyczącej złożonych ofert przygotowanej przez komisję konkursową;</w:t>
      </w:r>
    </w:p>
    <w:p w:rsidR="00E261ED" w:rsidRPr="004C6D87" w:rsidRDefault="006B5D2B">
      <w:pPr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kryteria: przy wyborze ofert stosowane będą kryteria oceny, określone w karcie oceny, stanowiącej załącznik nr 1 do Regulaminu otwartych konkursów ofert na realizację zadań publicznych gminy Cieszyn.</w:t>
      </w:r>
    </w:p>
    <w:p w:rsidR="00E261ED" w:rsidRPr="004C6D87" w:rsidRDefault="006B5D2B">
      <w:pPr>
        <w:numPr>
          <w:ilvl w:val="0"/>
          <w:numId w:val="3"/>
        </w:numPr>
        <w:ind w:left="1077" w:hanging="340"/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odstępuje się od wymogu składania dodatkowych informacji dotyczących rezultatów realizacji zadania publicznego, jeżeli rodzaj zadania uniemożliwia ich określenie (pkt. III.6 wzoru oferty).</w:t>
      </w:r>
    </w:p>
    <w:p w:rsidR="00E261ED" w:rsidRPr="004C6D87" w:rsidRDefault="00E261ED">
      <w:pPr>
        <w:ind w:left="1425" w:hanging="360"/>
        <w:jc w:val="both"/>
        <w:rPr>
          <w:rFonts w:asciiTheme="minorHAnsi" w:hAnsiTheme="minorHAnsi" w:cstheme="minorHAnsi"/>
        </w:rPr>
      </w:pPr>
    </w:p>
    <w:p w:rsidR="00E261ED" w:rsidRPr="004C6D87" w:rsidRDefault="006B5D2B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4C6D87">
        <w:rPr>
          <w:rFonts w:asciiTheme="minorHAnsi" w:hAnsiTheme="minorHAnsi" w:cstheme="minorHAnsi"/>
        </w:rPr>
        <w:t>Na pozostałe zadania z zakresu nauki i edukacji  w roku 2022 wydatkowano kwotę 25.000 zł, w tym na dotacje kwotę 22.000 zł, a w roku 2023 zaplanowano kwotę  14.000 zł, w tym na dotacje kwotę 10.000 zł.</w:t>
      </w:r>
    </w:p>
    <w:p w:rsidR="00E261ED" w:rsidRPr="004C6D87" w:rsidRDefault="00E261ED">
      <w:pPr>
        <w:ind w:left="360"/>
        <w:rPr>
          <w:rFonts w:asciiTheme="minorHAnsi" w:hAnsiTheme="minorHAnsi" w:cstheme="minorHAnsi"/>
        </w:rPr>
      </w:pPr>
    </w:p>
    <w:p w:rsidR="006B5D2B" w:rsidRPr="004C6D87" w:rsidRDefault="006B5D2B">
      <w:pPr>
        <w:ind w:left="360"/>
        <w:rPr>
          <w:rFonts w:asciiTheme="minorHAnsi" w:hAnsiTheme="minorHAnsi" w:cstheme="minorHAnsi"/>
        </w:rPr>
      </w:pPr>
    </w:p>
    <w:sectPr w:rsidR="006B5D2B" w:rsidRPr="004C6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17" w:rsidRDefault="00DC4D17" w:rsidP="006023C2">
      <w:r>
        <w:separator/>
      </w:r>
    </w:p>
  </w:endnote>
  <w:endnote w:type="continuationSeparator" w:id="0">
    <w:p w:rsidR="00DC4D17" w:rsidRDefault="00DC4D17" w:rsidP="006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17" w:rsidRDefault="00DC4D17" w:rsidP="006023C2">
      <w:r>
        <w:separator/>
      </w:r>
    </w:p>
  </w:footnote>
  <w:footnote w:type="continuationSeparator" w:id="0">
    <w:p w:rsidR="00DC4D17" w:rsidRDefault="00DC4D17" w:rsidP="006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C2" w:rsidRDefault="006023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4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 w:val="0"/>
        <w:sz w:val="22"/>
        <w:szCs w:val="24"/>
        <w:lang w:val="pl-PL" w:bidi="ar-SA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bCs w:val="0"/>
        <w:sz w:val="24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trike w:val="0"/>
        <w:dstrike w:val="0"/>
        <w:sz w:val="24"/>
        <w:szCs w:val="24"/>
        <w:lang w:val="pl-PL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D"/>
    <w:rsid w:val="0034403D"/>
    <w:rsid w:val="004C6D87"/>
    <w:rsid w:val="006023C2"/>
    <w:rsid w:val="006B5D2B"/>
    <w:rsid w:val="00DC4D17"/>
    <w:rsid w:val="00E2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8"/>
      <w:outlineLvl w:val="0"/>
    </w:pPr>
    <w:rPr>
      <w:rFonts w:ascii="Trebuchet MS" w:hAnsi="Trebuchet MS" w:cs="Trebuchet MS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43"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Arial"/>
      <w:color w:val="auto"/>
      <w:sz w:val="24"/>
      <w:szCs w:val="24"/>
      <w:lang w:val="pl-PL" w:bidi="ar-SA"/>
    </w:rPr>
  </w:style>
  <w:style w:type="character" w:customStyle="1" w:styleId="WW8Num2z1">
    <w:name w:val="WW8Num2z1"/>
    <w:rPr>
      <w:rFonts w:ascii="Arial" w:eastAsia="Times New Roman" w:hAnsi="Arial" w:cs="Arial"/>
      <w:b w:val="0"/>
      <w:bCs w:val="0"/>
      <w:sz w:val="22"/>
      <w:szCs w:val="24"/>
      <w:lang w:val="pl-PL" w:bidi="ar-SA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Arial"/>
      <w:b w:val="0"/>
      <w:bCs w:val="0"/>
      <w:color w:val="auto"/>
      <w:sz w:val="24"/>
      <w:szCs w:val="24"/>
      <w:lang w:val="pl-PL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Arial"/>
      <w:b w:val="0"/>
      <w:bCs w:val="0"/>
      <w:i w:val="0"/>
      <w:iCs w:val="0"/>
      <w:strike w:val="0"/>
      <w:dstrike w:val="0"/>
      <w:color w:val="auto"/>
      <w:sz w:val="24"/>
      <w:szCs w:val="24"/>
      <w:lang w:val="pl-PL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WW8Num1z2">
    <w:name w:val="WW-WW8Num1z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21">
    <w:name w:val="WW-WW8Num1z2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211">
    <w:name w:val="WW-WW8Num1z2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2111">
    <w:name w:val="WW-WW8Num1z2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21111">
    <w:name w:val="WW-WW8Num1z2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5z0">
    <w:name w:val="WW8Num5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Arial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4">
    <w:name w:val="ListLabel 4"/>
    <w:rPr>
      <w:rFonts w:ascii="Times New Roman" w:eastAsia="Arial" w:hAnsi="Times New Roman" w:cs="Times New Roman"/>
    </w:rPr>
  </w:style>
  <w:style w:type="character" w:customStyle="1" w:styleId="ListLabel5">
    <w:name w:val="ListLabel 5"/>
    <w:rPr>
      <w:rFonts w:ascii="Arial" w:eastAsia="Arial" w:hAnsi="Arial" w:cs="Arial"/>
    </w:rPr>
  </w:style>
  <w:style w:type="character" w:customStyle="1" w:styleId="ListLabel6">
    <w:name w:val="ListLabel 6"/>
    <w:rPr>
      <w:rFonts w:eastAsia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rFonts w:ascii="Trebuchet MS" w:hAnsi="Trebuchet MS" w:cs="Trebuchet MS"/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abela">
    <w:name w:val="Tabela"/>
    <w:basedOn w:val="Podpis1"/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02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3C2"/>
    <w:rPr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2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3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o.org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2023-11-21T13:42:00Z</dcterms:created>
  <dcterms:modified xsi:type="dcterms:W3CDTF">2023-11-21T13:42:00Z</dcterms:modified>
</cp:coreProperties>
</file>