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8E" w:rsidRPr="00D0588E" w:rsidRDefault="00D0588E" w:rsidP="00D0588E">
      <w:pPr>
        <w:pStyle w:val="Nagwek2"/>
        <w:jc w:val="center"/>
      </w:pPr>
      <w:bookmarkStart w:id="0" w:name="bookmark0"/>
      <w:r w:rsidRPr="00D0588E">
        <w:t>PAŃSTWOWY POWIATOWY INSPEKTOR SANITARNY</w:t>
      </w:r>
      <w:bookmarkStart w:id="1" w:name="bookmark1"/>
      <w:bookmarkEnd w:id="0"/>
      <w:r>
        <w:br/>
      </w:r>
      <w:r w:rsidRPr="00D0588E">
        <w:t>w Cieszynie</w:t>
      </w:r>
      <w:bookmarkEnd w:id="1"/>
    </w:p>
    <w:p w:rsidR="00D0588E" w:rsidRPr="00D0588E" w:rsidRDefault="00D0588E" w:rsidP="00D0588E">
      <w:pPr>
        <w:jc w:val="center"/>
        <w:rPr>
          <w:rFonts w:ascii="Calibri" w:hAnsi="Calibri" w:cs="Calibri"/>
        </w:rPr>
      </w:pPr>
      <w:bookmarkStart w:id="2" w:name="bookmark2"/>
      <w:r w:rsidRPr="00D0588E">
        <w:rPr>
          <w:rFonts w:ascii="Calibri" w:hAnsi="Calibri" w:cs="Calibri"/>
        </w:rPr>
        <w:t>ul. Liburnia 2a, 43-400 Cieszyn</w:t>
      </w:r>
      <w:bookmarkEnd w:id="2"/>
    </w:p>
    <w:p w:rsidR="00D0588E" w:rsidRPr="00D0588E" w:rsidRDefault="00D0588E" w:rsidP="00D0588E">
      <w:pPr>
        <w:jc w:val="center"/>
        <w:rPr>
          <w:rFonts w:ascii="Calibri" w:hAnsi="Calibri" w:cs="Calibri"/>
        </w:rPr>
      </w:pPr>
      <w:r w:rsidRPr="00D0588E">
        <w:rPr>
          <w:rFonts w:ascii="Calibri" w:hAnsi="Calibri" w:cs="Calibri"/>
          <w:lang w:val="en-US"/>
        </w:rPr>
        <w:t xml:space="preserve">tel. </w:t>
      </w:r>
      <w:r w:rsidRPr="00D0588E">
        <w:rPr>
          <w:rFonts w:ascii="Calibri" w:hAnsi="Calibri" w:cs="Calibri"/>
        </w:rPr>
        <w:t xml:space="preserve">/33/4797010; </w:t>
      </w:r>
      <w:r w:rsidRPr="00D0588E">
        <w:rPr>
          <w:rFonts w:ascii="Calibri" w:hAnsi="Calibri" w:cs="Calibri"/>
          <w:lang w:val="en-US"/>
        </w:rPr>
        <w:t xml:space="preserve">fax. </w:t>
      </w:r>
      <w:r w:rsidRPr="00D0588E">
        <w:rPr>
          <w:rFonts w:ascii="Calibri" w:hAnsi="Calibri" w:cs="Calibri"/>
        </w:rPr>
        <w:t xml:space="preserve">/33/4797173; </w:t>
      </w:r>
      <w:r w:rsidRPr="00D0588E">
        <w:rPr>
          <w:rFonts w:ascii="Calibri" w:hAnsi="Calibri" w:cs="Calibri"/>
          <w:lang w:val="en-US"/>
        </w:rPr>
        <w:t xml:space="preserve">e-mail: </w:t>
      </w:r>
      <w:hyperlink r:id="rId8" w:history="1">
        <w:proofErr w:type="spellStart"/>
        <w:r w:rsidRPr="00D0588E">
          <w:rPr>
            <w:rStyle w:val="Hipercze"/>
            <w:rFonts w:ascii="Calibri" w:eastAsia="Consolas" w:hAnsi="Calibri" w:cs="Calibri"/>
            <w:lang w:val="en-US"/>
          </w:rPr>
          <w:t>psse.cieszyn@sanepid.gov.pl</w:t>
        </w:r>
        <w:proofErr w:type="spellEnd"/>
      </w:hyperlink>
    </w:p>
    <w:p w:rsidR="00D0588E" w:rsidRPr="00D0588E" w:rsidRDefault="00D0588E" w:rsidP="00D0588E">
      <w:pPr>
        <w:tabs>
          <w:tab w:val="right" w:pos="10204"/>
        </w:tabs>
        <w:rPr>
          <w:rFonts w:ascii="Calibri" w:hAnsi="Calibri" w:cs="Calibri"/>
        </w:rPr>
      </w:pPr>
      <w:r w:rsidRPr="00D0588E">
        <w:rPr>
          <w:rFonts w:ascii="Calibri" w:hAnsi="Calibri" w:cs="Calibri"/>
        </w:rPr>
        <w:t>ONS-HKiŚ.9011.2.35.2023</w:t>
      </w:r>
      <w:r>
        <w:rPr>
          <w:rFonts w:ascii="Calibri" w:hAnsi="Calibri" w:cs="Calibri"/>
        </w:rPr>
        <w:tab/>
      </w:r>
      <w:r w:rsidRPr="00D0588E">
        <w:rPr>
          <w:rFonts w:ascii="Calibri" w:hAnsi="Calibri" w:cs="Calibri"/>
        </w:rPr>
        <w:t>Cieszyn, dnia 20.02.2023 r.</w:t>
      </w:r>
    </w:p>
    <w:p w:rsidR="00D0588E" w:rsidRPr="00D0588E" w:rsidRDefault="00D0588E" w:rsidP="00D0588E">
      <w:pPr>
        <w:pStyle w:val="Nagwek2"/>
        <w:ind w:left="6120"/>
      </w:pPr>
      <w:bookmarkStart w:id="3" w:name="bookmark3"/>
      <w:r w:rsidRPr="00D0588E">
        <w:t>Burmistrz Cieszyna</w:t>
      </w:r>
      <w:bookmarkEnd w:id="3"/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Działając na podstawie </w:t>
      </w:r>
      <w:r w:rsidRPr="00D0588E">
        <w:rPr>
          <w:rFonts w:ascii="Calibri" w:hAnsi="Calibri" w:cs="Calibri"/>
          <w:lang w:val="en-US"/>
        </w:rPr>
        <w:t xml:space="preserve">art. </w:t>
      </w:r>
      <w:r w:rsidRPr="00D0588E">
        <w:rPr>
          <w:rFonts w:ascii="Calibri" w:hAnsi="Calibri" w:cs="Calibri"/>
        </w:rPr>
        <w:t xml:space="preserve">4 ust. 1 pkt 1 ustawy z dnia 14 marca 1985 r. o Państwowej Inspekcji Sanitarnej (Dz. U. z 2021 r., poz. 195 z późn. zm.), zgodnie z § 23 rozporządzenia Ministra Zdrowia z dnia 7 grudnia 2017 r. w sprawie jakości wody przeznaczonej do spożycia przez ludzi (Dz. U. z 2017 r., poz. 2294) </w:t>
      </w:r>
      <w:r w:rsidRPr="00D0588E">
        <w:rPr>
          <w:rFonts w:ascii="Calibri" w:hAnsi="Calibri" w:cs="Calibri"/>
          <w:b/>
        </w:rPr>
        <w:t>Państwowy Powiatowy Inspektor Sanitarny w Cieszynie przedstawia poniżej sporządzoną dla MIASTA CIESZYN obszarową ocenę jakości wody przeznaczonej do spożycia przez ludzi za 2022 rok</w:t>
      </w:r>
      <w:r w:rsidRPr="00D0588E">
        <w:rPr>
          <w:rFonts w:ascii="Calibri" w:hAnsi="Calibri" w:cs="Calibri"/>
        </w:rPr>
        <w:t>.</w:t>
      </w:r>
    </w:p>
    <w:p w:rsidR="00D0588E" w:rsidRPr="00D0588E" w:rsidRDefault="00D0588E" w:rsidP="00D0588E">
      <w:pPr>
        <w:rPr>
          <w:rFonts w:ascii="Calibri" w:hAnsi="Calibri" w:cs="Calibri"/>
          <w:b/>
        </w:rPr>
      </w:pPr>
      <w:r w:rsidRPr="00D0588E">
        <w:rPr>
          <w:rFonts w:ascii="Calibri" w:hAnsi="Calibri" w:cs="Calibri"/>
          <w:b/>
        </w:rPr>
        <w:t>Wykaz producentów wody zaopatrujących ludność miasta Cieszyna: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Na teren Cieszyna, wodę przeznaczoną do spożycia dostarcza jeden przedsiębiorca wodociągowy tj. </w:t>
      </w:r>
      <w:r w:rsidRPr="00D0588E">
        <w:rPr>
          <w:rFonts w:ascii="Calibri" w:hAnsi="Calibri" w:cs="Calibri"/>
          <w:b/>
        </w:rPr>
        <w:t>Wodociągi Ziemi Cieszyńskiej Sp. z o.o. w Ustroniu, 43-450 Ustroń, ul. Myśliwska 10</w:t>
      </w:r>
      <w:r w:rsidRPr="00D0588E">
        <w:rPr>
          <w:rFonts w:ascii="Calibri" w:hAnsi="Calibri" w:cs="Calibri"/>
        </w:rPr>
        <w:t>.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>Wielkość produkcji wody</w:t>
      </w:r>
      <w:r w:rsidRPr="00CF2AF5">
        <w:rPr>
          <w:rFonts w:ascii="Calibri" w:hAnsi="Calibri" w:cs="Calibri"/>
          <w:b/>
        </w:rPr>
        <w:t>: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Cieszyn zaopatrywany jest w wodę do spożycia przez </w:t>
      </w:r>
      <w:r w:rsidRPr="00CF2AF5">
        <w:rPr>
          <w:rFonts w:ascii="Calibri" w:hAnsi="Calibri" w:cs="Calibri"/>
          <w:b/>
        </w:rPr>
        <w:t>2 wodociągi publiczne</w:t>
      </w:r>
      <w:r w:rsidRPr="00D0588E">
        <w:rPr>
          <w:rFonts w:ascii="Calibri" w:hAnsi="Calibri" w:cs="Calibri"/>
        </w:rPr>
        <w:t xml:space="preserve">, z czego wodociąg Pogórze oparty jest na wodzie podziemnej (ujęcie wody na terenie obszaru wiejskiego Miasta i Gminy Skoczów), natomiast wodociąg </w:t>
      </w:r>
      <w:r w:rsidRPr="00CF2AF5">
        <w:rPr>
          <w:rFonts w:ascii="Calibri" w:hAnsi="Calibri" w:cs="Calibri"/>
          <w:b/>
          <w:lang w:val="en-US"/>
        </w:rPr>
        <w:t xml:space="preserve">Nova </w:t>
      </w:r>
      <w:proofErr w:type="spellStart"/>
      <w:r w:rsidRPr="00CF2AF5">
        <w:rPr>
          <w:rFonts w:ascii="Calibri" w:hAnsi="Calibri" w:cs="Calibri"/>
          <w:b/>
          <w:lang w:val="en-US"/>
        </w:rPr>
        <w:t>Ves</w:t>
      </w:r>
      <w:proofErr w:type="spellEnd"/>
      <w:r w:rsidRPr="00D0588E">
        <w:rPr>
          <w:rFonts w:ascii="Calibri" w:hAnsi="Calibri" w:cs="Calibri"/>
          <w:lang w:val="en-US"/>
        </w:rPr>
        <w:t xml:space="preserve"> </w:t>
      </w:r>
      <w:r w:rsidRPr="00D0588E">
        <w:rPr>
          <w:rFonts w:ascii="Calibri" w:hAnsi="Calibri" w:cs="Calibri"/>
        </w:rPr>
        <w:t>oparty jest na wodzie powierzchniowej (ujęcie wody w Republice Czeskiej).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Stacje uzdatniania wody dla wodociągów Pogórze i </w:t>
      </w:r>
      <w:r w:rsidRPr="00D0588E">
        <w:rPr>
          <w:rFonts w:ascii="Calibri" w:hAnsi="Calibri" w:cs="Calibri"/>
          <w:lang w:val="en-US"/>
        </w:rPr>
        <w:t xml:space="preserve">Nova </w:t>
      </w:r>
      <w:proofErr w:type="spellStart"/>
      <w:r w:rsidRPr="00D0588E">
        <w:rPr>
          <w:rFonts w:ascii="Calibri" w:hAnsi="Calibri" w:cs="Calibri"/>
          <w:lang w:val="en-US"/>
        </w:rPr>
        <w:t>Ves</w:t>
      </w:r>
      <w:proofErr w:type="spellEnd"/>
      <w:r w:rsidRPr="00D0588E">
        <w:rPr>
          <w:rFonts w:ascii="Calibri" w:hAnsi="Calibri" w:cs="Calibri"/>
          <w:lang w:val="en-US"/>
        </w:rPr>
        <w:t xml:space="preserve"> </w:t>
      </w:r>
      <w:r w:rsidRPr="00D0588E">
        <w:rPr>
          <w:rFonts w:ascii="Calibri" w:hAnsi="Calibri" w:cs="Calibri"/>
        </w:rPr>
        <w:t>zlokalizowane są poza obszarem Cieszyna, w związku z czym na terenie miasta nie ma bezpośredniej produkcji wody.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W 2022 r. na teren Cieszyna dostarczano z ww. wodociągów publicznych łącznie średnio około </w:t>
      </w:r>
      <w:r w:rsidRPr="00CF2AF5">
        <w:rPr>
          <w:rFonts w:ascii="Calibri" w:hAnsi="Calibri" w:cs="Calibri"/>
          <w:b/>
        </w:rPr>
        <w:t>8 016,0 m</w:t>
      </w:r>
      <w:r w:rsidRPr="00CF2AF5">
        <w:rPr>
          <w:rFonts w:ascii="Calibri" w:hAnsi="Calibri" w:cs="Calibri"/>
          <w:b/>
          <w:vertAlign w:val="superscript"/>
        </w:rPr>
        <w:t>3</w:t>
      </w:r>
      <w:r w:rsidRPr="00CF2AF5">
        <w:rPr>
          <w:rFonts w:ascii="Calibri" w:hAnsi="Calibri" w:cs="Calibri"/>
          <w:b/>
        </w:rPr>
        <w:t>/d</w:t>
      </w:r>
      <w:r w:rsidRPr="00D0588E">
        <w:rPr>
          <w:rFonts w:ascii="Calibri" w:hAnsi="Calibri" w:cs="Calibri"/>
        </w:rPr>
        <w:t xml:space="preserve"> wody, w tym:</w:t>
      </w:r>
    </w:p>
    <w:p w:rsidR="00D0588E" w:rsidRPr="00CF2AF5" w:rsidRDefault="00D0588E" w:rsidP="00CF2AF5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CF2AF5">
        <w:rPr>
          <w:rFonts w:ascii="Calibri" w:hAnsi="Calibri" w:cs="Calibri"/>
        </w:rPr>
        <w:t>z wodociągu Pogórze - 7966,3 m</w:t>
      </w:r>
      <w:r w:rsidRPr="00CF2AF5">
        <w:rPr>
          <w:rFonts w:ascii="Calibri" w:hAnsi="Calibri" w:cs="Calibri"/>
          <w:vertAlign w:val="superscript"/>
        </w:rPr>
        <w:t>3</w:t>
      </w:r>
      <w:r w:rsidRPr="00CF2AF5">
        <w:rPr>
          <w:rFonts w:ascii="Calibri" w:hAnsi="Calibri" w:cs="Calibri"/>
        </w:rPr>
        <w:t>/d</w:t>
      </w:r>
    </w:p>
    <w:p w:rsidR="00D0588E" w:rsidRPr="00CF2AF5" w:rsidRDefault="00D0588E" w:rsidP="00CF2AF5">
      <w:pPr>
        <w:pStyle w:val="Akapitzlist"/>
        <w:numPr>
          <w:ilvl w:val="0"/>
          <w:numId w:val="24"/>
        </w:numPr>
        <w:rPr>
          <w:rFonts w:ascii="Calibri" w:hAnsi="Calibri" w:cs="Calibri"/>
        </w:rPr>
      </w:pPr>
      <w:r w:rsidRPr="00CF2AF5">
        <w:rPr>
          <w:rFonts w:ascii="Calibri" w:hAnsi="Calibri" w:cs="Calibri"/>
        </w:rPr>
        <w:t xml:space="preserve">z wodociągu </w:t>
      </w:r>
      <w:r w:rsidRPr="00CF2AF5">
        <w:rPr>
          <w:rFonts w:ascii="Calibri" w:hAnsi="Calibri" w:cs="Calibri"/>
          <w:lang w:val="en-US"/>
        </w:rPr>
        <w:t xml:space="preserve">Nova </w:t>
      </w:r>
      <w:proofErr w:type="spellStart"/>
      <w:r w:rsidRPr="00CF2AF5">
        <w:rPr>
          <w:rFonts w:ascii="Calibri" w:hAnsi="Calibri" w:cs="Calibri"/>
          <w:lang w:val="en-US"/>
        </w:rPr>
        <w:t>Ves</w:t>
      </w:r>
      <w:proofErr w:type="spellEnd"/>
      <w:r w:rsidRPr="00CF2AF5">
        <w:rPr>
          <w:rFonts w:ascii="Calibri" w:hAnsi="Calibri" w:cs="Calibri"/>
          <w:lang w:val="en-US"/>
        </w:rPr>
        <w:t xml:space="preserve"> </w:t>
      </w:r>
      <w:r w:rsidRPr="00CF2AF5">
        <w:rPr>
          <w:rFonts w:ascii="Calibri" w:hAnsi="Calibri" w:cs="Calibri"/>
        </w:rPr>
        <w:t>- 49,7 m</w:t>
      </w:r>
      <w:r w:rsidRPr="00CF2AF5">
        <w:rPr>
          <w:rFonts w:ascii="Calibri" w:hAnsi="Calibri" w:cs="Calibri"/>
          <w:vertAlign w:val="superscript"/>
        </w:rPr>
        <w:t>3</w:t>
      </w:r>
      <w:r w:rsidRPr="00CF2AF5">
        <w:rPr>
          <w:rFonts w:ascii="Calibri" w:hAnsi="Calibri" w:cs="Calibri"/>
        </w:rPr>
        <w:t>/d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>Liczba ludności zaopatrywanej w wodę: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W 2022 r. </w:t>
      </w:r>
      <w:r w:rsidRPr="00CF2AF5">
        <w:rPr>
          <w:rFonts w:ascii="Calibri" w:hAnsi="Calibri" w:cs="Calibri"/>
          <w:b/>
        </w:rPr>
        <w:t>34200</w:t>
      </w:r>
      <w:r w:rsidRPr="00D0588E">
        <w:rPr>
          <w:rFonts w:ascii="Calibri" w:hAnsi="Calibri" w:cs="Calibri"/>
        </w:rPr>
        <w:t xml:space="preserve"> mieszkańców miasta korzystało z wody pochodzącej z wodociągów będących pod stałą kontrolą zarówno Państwowej Inspekcji Sanitarnej, jak i przedsiębiorcy wodociągowego.</w:t>
      </w:r>
    </w:p>
    <w:p w:rsidR="00D0588E" w:rsidRPr="00CF2AF5" w:rsidRDefault="00D0588E" w:rsidP="00CF2AF5">
      <w:pPr>
        <w:keepNext/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lastRenderedPageBreak/>
        <w:t>Jakość wody, sposób jej uzdatniania i dezynfekcji.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 xml:space="preserve">Po przeanalizowaniu wszystkich wyników badań wody przeznaczonej do spożycia, wykonanych w okresie od 1 stycznia do 31 grudnia 2022 r., </w:t>
      </w:r>
      <w:proofErr w:type="spellStart"/>
      <w:r w:rsidRPr="00CF2AF5">
        <w:rPr>
          <w:rFonts w:ascii="Calibri" w:hAnsi="Calibri" w:cs="Calibri"/>
          <w:b/>
        </w:rPr>
        <w:t>PPIS</w:t>
      </w:r>
      <w:proofErr w:type="spellEnd"/>
      <w:r w:rsidRPr="00CF2AF5">
        <w:rPr>
          <w:rFonts w:ascii="Calibri" w:hAnsi="Calibri" w:cs="Calibri"/>
          <w:b/>
        </w:rPr>
        <w:t xml:space="preserve"> w Cieszynie stwierdził przydatność wody do spożycia dostarczanej przez nadzorowane wodociągi mieszkańcom miasta Cieszyna.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2610"/>
        <w:gridCol w:w="5893"/>
      </w:tblGrid>
      <w:tr w:rsidR="00D0588E" w:rsidRPr="00CF2AF5" w:rsidTr="00CF2AF5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CF2AF5" w:rsidRDefault="00D0588E" w:rsidP="00CF2AF5">
            <w:pPr>
              <w:spacing w:after="0"/>
              <w:rPr>
                <w:rFonts w:ascii="Calibri" w:hAnsi="Calibri" w:cs="Calibri"/>
                <w:b/>
              </w:rPr>
            </w:pPr>
            <w:r w:rsidRPr="00CF2AF5">
              <w:rPr>
                <w:rFonts w:ascii="Calibri" w:hAnsi="Calibri" w:cs="Calibri"/>
                <w:b/>
              </w:rPr>
              <w:t>Wodociąg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CF2AF5" w:rsidRDefault="00D0588E" w:rsidP="00CF2AF5">
            <w:pPr>
              <w:spacing w:after="0"/>
              <w:rPr>
                <w:rFonts w:ascii="Calibri" w:hAnsi="Calibri" w:cs="Calibri"/>
                <w:b/>
              </w:rPr>
            </w:pPr>
            <w:r w:rsidRPr="00CF2AF5">
              <w:rPr>
                <w:rFonts w:ascii="Calibri" w:hAnsi="Calibri" w:cs="Calibri"/>
                <w:b/>
              </w:rPr>
              <w:t>Jakość wody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CF2AF5" w:rsidRDefault="00D0588E" w:rsidP="00CF2AF5">
            <w:pPr>
              <w:spacing w:after="0"/>
              <w:rPr>
                <w:rFonts w:ascii="Calibri" w:hAnsi="Calibri" w:cs="Calibri"/>
                <w:b/>
              </w:rPr>
            </w:pPr>
            <w:r w:rsidRPr="00CF2AF5">
              <w:rPr>
                <w:rFonts w:ascii="Calibri" w:hAnsi="Calibri" w:cs="Calibri"/>
                <w:b/>
              </w:rPr>
              <w:t xml:space="preserve">Sposób uzdatniania i dezynfekcji </w:t>
            </w:r>
            <w:proofErr w:type="spellStart"/>
            <w:r w:rsidRPr="00CF2AF5">
              <w:rPr>
                <w:rFonts w:ascii="Calibri" w:hAnsi="Calibri" w:cs="Calibri"/>
                <w:b/>
                <w:lang w:val="en-US"/>
              </w:rPr>
              <w:t>wody</w:t>
            </w:r>
            <w:proofErr w:type="spellEnd"/>
          </w:p>
        </w:tc>
      </w:tr>
      <w:tr w:rsidR="00D0588E" w:rsidRPr="00D0588E" w:rsidTr="00CF2AF5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D0588E" w:rsidRDefault="00D0588E" w:rsidP="00CF2AF5">
            <w:pPr>
              <w:spacing w:after="0"/>
              <w:rPr>
                <w:rFonts w:ascii="Calibri" w:hAnsi="Calibri" w:cs="Calibri"/>
              </w:rPr>
            </w:pPr>
            <w:r w:rsidRPr="00D0588E">
              <w:rPr>
                <w:rFonts w:ascii="Calibri" w:hAnsi="Calibri" w:cs="Calibri"/>
              </w:rPr>
              <w:t>Pogórze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D0588E" w:rsidRDefault="00D0588E" w:rsidP="00CF2AF5">
            <w:pPr>
              <w:spacing w:after="0"/>
              <w:rPr>
                <w:rFonts w:ascii="Calibri" w:hAnsi="Calibri" w:cs="Calibri"/>
              </w:rPr>
            </w:pPr>
            <w:r w:rsidRPr="00D0588E">
              <w:rPr>
                <w:rFonts w:ascii="Calibri" w:hAnsi="Calibri" w:cs="Calibri"/>
              </w:rPr>
              <w:t>przydatna do spożycia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D0588E" w:rsidRDefault="00D0588E" w:rsidP="00CF2AF5">
            <w:pPr>
              <w:spacing w:after="0"/>
              <w:rPr>
                <w:rFonts w:ascii="Calibri" w:hAnsi="Calibri" w:cs="Calibri"/>
              </w:rPr>
            </w:pPr>
            <w:r w:rsidRPr="00D0588E">
              <w:rPr>
                <w:rFonts w:ascii="Calibri" w:hAnsi="Calibri" w:cs="Calibri"/>
              </w:rPr>
              <w:t>ujęcie podziemne, sposób uzdatniania: dezynfekcja chemiczna</w:t>
            </w:r>
          </w:p>
        </w:tc>
      </w:tr>
      <w:tr w:rsidR="00D0588E" w:rsidRPr="00D0588E" w:rsidTr="00CF2AF5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D0588E" w:rsidRDefault="00D0588E" w:rsidP="00CF2AF5">
            <w:pPr>
              <w:spacing w:after="0"/>
              <w:rPr>
                <w:rFonts w:ascii="Calibri" w:hAnsi="Calibri" w:cs="Calibri"/>
              </w:rPr>
            </w:pPr>
            <w:r w:rsidRPr="00D0588E">
              <w:rPr>
                <w:rFonts w:ascii="Calibri" w:hAnsi="Calibri" w:cs="Calibri"/>
                <w:lang w:val="en-US"/>
              </w:rPr>
              <w:t xml:space="preserve">Nova </w:t>
            </w:r>
            <w:proofErr w:type="spellStart"/>
            <w:r w:rsidRPr="00D0588E">
              <w:rPr>
                <w:rFonts w:ascii="Calibri" w:hAnsi="Calibri" w:cs="Calibri"/>
                <w:lang w:val="en-US"/>
              </w:rPr>
              <w:t>Ves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D0588E" w:rsidRDefault="00D0588E" w:rsidP="00CF2AF5">
            <w:pPr>
              <w:spacing w:after="0"/>
              <w:rPr>
                <w:rFonts w:ascii="Calibri" w:hAnsi="Calibri" w:cs="Calibri"/>
              </w:rPr>
            </w:pPr>
            <w:r w:rsidRPr="00D0588E">
              <w:rPr>
                <w:rFonts w:ascii="Calibri" w:hAnsi="Calibri" w:cs="Calibri"/>
              </w:rPr>
              <w:t>przydatna do spożycia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8E" w:rsidRPr="00D0588E" w:rsidRDefault="00D0588E" w:rsidP="00CF2AF5">
            <w:pPr>
              <w:spacing w:after="0"/>
              <w:rPr>
                <w:rFonts w:ascii="Calibri" w:hAnsi="Calibri" w:cs="Calibri"/>
              </w:rPr>
            </w:pPr>
            <w:r w:rsidRPr="00D0588E">
              <w:rPr>
                <w:rFonts w:ascii="Calibri" w:hAnsi="Calibri" w:cs="Calibri"/>
              </w:rPr>
              <w:t>ujęcie powierzchniowe, brak danych nt. sposobu uzdatniania i dezynfekcji wody - stacja uzdatniania wody na terenie Republiki Czeskiej</w:t>
            </w:r>
          </w:p>
        </w:tc>
      </w:tr>
    </w:tbl>
    <w:p w:rsidR="00D0588E" w:rsidRPr="00CF2AF5" w:rsidRDefault="00D0588E" w:rsidP="00CF2AF5">
      <w:pPr>
        <w:spacing w:before="240"/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>Przekroczenia wartości dopuszczalnych parametrów jakości wody wraz ze wskazaniem ich wpływu na zdrowie konsumentów.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Badania jakości wody prowadzone były regularnie przez cały rok w </w:t>
      </w:r>
      <w:r w:rsidRPr="00CF2AF5">
        <w:rPr>
          <w:rFonts w:ascii="Calibri" w:hAnsi="Calibri" w:cs="Calibri"/>
          <w:b/>
        </w:rPr>
        <w:t>10 punktach zgodności zlokalizowanych u odbiorców wody</w:t>
      </w:r>
      <w:r w:rsidRPr="00D0588E">
        <w:rPr>
          <w:rFonts w:ascii="Calibri" w:hAnsi="Calibri" w:cs="Calibri"/>
        </w:rPr>
        <w:t xml:space="preserve">. Realizując bieżący nadzór sanitarny oraz wewnętrzną kontrolę jakości wody </w:t>
      </w:r>
      <w:r w:rsidRPr="00CF2AF5">
        <w:rPr>
          <w:rFonts w:ascii="Calibri" w:hAnsi="Calibri" w:cs="Calibri"/>
          <w:b/>
        </w:rPr>
        <w:t>pobrano łącznie 51 próbek wody</w:t>
      </w:r>
      <w:r w:rsidRPr="00D0588E">
        <w:rPr>
          <w:rFonts w:ascii="Calibri" w:hAnsi="Calibri" w:cs="Calibri"/>
        </w:rPr>
        <w:t xml:space="preserve">: z czego </w:t>
      </w:r>
      <w:r w:rsidRPr="00CF2AF5">
        <w:rPr>
          <w:rFonts w:ascii="Calibri" w:hAnsi="Calibri" w:cs="Calibri"/>
          <w:b/>
        </w:rPr>
        <w:t>13</w:t>
      </w:r>
      <w:r w:rsidRPr="00D0588E">
        <w:rPr>
          <w:rFonts w:ascii="Calibri" w:hAnsi="Calibri" w:cs="Calibri"/>
        </w:rPr>
        <w:t xml:space="preserve"> w ramach kontroli urzędowej </w:t>
      </w:r>
      <w:proofErr w:type="spellStart"/>
      <w:r w:rsidRPr="00D0588E">
        <w:rPr>
          <w:rFonts w:ascii="Calibri" w:hAnsi="Calibri" w:cs="Calibri"/>
        </w:rPr>
        <w:t>PPIS</w:t>
      </w:r>
      <w:proofErr w:type="spellEnd"/>
      <w:r w:rsidRPr="00D0588E">
        <w:rPr>
          <w:rFonts w:ascii="Calibri" w:hAnsi="Calibri" w:cs="Calibri"/>
        </w:rPr>
        <w:t xml:space="preserve"> w Cieszynie</w:t>
      </w:r>
      <w:r w:rsidR="00CF2AF5">
        <w:rPr>
          <w:rStyle w:val="Odwoanieprzypisukocowego"/>
          <w:rFonts w:ascii="Calibri" w:hAnsi="Calibri" w:cs="Calibri"/>
        </w:rPr>
        <w:endnoteReference w:id="1"/>
      </w:r>
      <w:r w:rsidRPr="00D0588E">
        <w:rPr>
          <w:rFonts w:ascii="Calibri" w:hAnsi="Calibri" w:cs="Calibri"/>
        </w:rPr>
        <w:t xml:space="preserve"> oraz </w:t>
      </w:r>
      <w:r w:rsidRPr="00CF2AF5">
        <w:rPr>
          <w:rFonts w:ascii="Calibri" w:hAnsi="Calibri" w:cs="Calibri"/>
          <w:b/>
        </w:rPr>
        <w:t>38</w:t>
      </w:r>
      <w:r w:rsidRPr="00D0588E">
        <w:rPr>
          <w:rFonts w:ascii="Calibri" w:hAnsi="Calibri" w:cs="Calibri"/>
        </w:rPr>
        <w:t xml:space="preserve"> w ramach kontroli wewnętrznej przedsiębiorcy wodociągowego.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CF2AF5">
        <w:rPr>
          <w:rFonts w:ascii="Calibri" w:hAnsi="Calibri" w:cs="Calibri"/>
          <w:b/>
        </w:rPr>
        <w:t>Pod względem mikrobiologicznym kwestionowano 1 próbkę wody</w:t>
      </w:r>
      <w:r w:rsidRPr="00D0588E">
        <w:rPr>
          <w:rFonts w:ascii="Calibri" w:hAnsi="Calibri" w:cs="Calibri"/>
        </w:rPr>
        <w:t xml:space="preserve"> pobraną w ramach bieżącego nadzoru sanitarnego </w:t>
      </w:r>
      <w:proofErr w:type="spellStart"/>
      <w:r w:rsidRPr="00D0588E">
        <w:rPr>
          <w:rFonts w:ascii="Calibri" w:hAnsi="Calibri" w:cs="Calibri"/>
        </w:rPr>
        <w:t>PPIS</w:t>
      </w:r>
      <w:proofErr w:type="spellEnd"/>
      <w:r w:rsidRPr="00D0588E">
        <w:rPr>
          <w:rFonts w:ascii="Calibri" w:hAnsi="Calibri" w:cs="Calibri"/>
        </w:rPr>
        <w:t xml:space="preserve"> w Cieszynie pochodzącą z wodociągu publicznego Pogórze: w próbce wody pobranej w maju stwierdzono obecność bakterii grupy coli w ilości</w:t>
      </w:r>
      <w:r w:rsidR="00CF2AF5">
        <w:rPr>
          <w:rFonts w:ascii="Calibri" w:hAnsi="Calibri" w:cs="Calibri"/>
        </w:rPr>
        <w:t xml:space="preserve"> </w:t>
      </w:r>
      <w:r w:rsidRPr="00D0588E">
        <w:rPr>
          <w:rFonts w:ascii="Calibri" w:hAnsi="Calibri" w:cs="Calibri"/>
        </w:rPr>
        <w:t xml:space="preserve">4 jednostki tworzące kolonie, Państwowy Powiatowy Inspektor Sanitarny w Cieszynie wszczął postępowanie administracyjne, przedsiębiorca wodociągowy pobrał próbki wody do badań </w:t>
      </w:r>
      <w:proofErr w:type="spellStart"/>
      <w:r w:rsidRPr="00D0588E">
        <w:rPr>
          <w:rFonts w:ascii="Calibri" w:hAnsi="Calibri" w:cs="Calibri"/>
        </w:rPr>
        <w:t>rekontrolnych</w:t>
      </w:r>
      <w:proofErr w:type="spellEnd"/>
      <w:r w:rsidRPr="00D0588E">
        <w:rPr>
          <w:rFonts w:ascii="Calibri" w:hAnsi="Calibri" w:cs="Calibri"/>
        </w:rPr>
        <w:t xml:space="preserve"> w dniu otrzymania zgłoszenia o przekroczeniu, postępowanie administracyjne po otrzymaniu niekwestionowanych wyników badań wody w ciągu 7 dni od daty otrzymania zawiadomienia przez stronę, zostało umorzone;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CF2AF5">
        <w:rPr>
          <w:rFonts w:ascii="Calibri" w:hAnsi="Calibri" w:cs="Calibri"/>
          <w:b/>
        </w:rPr>
        <w:t>Pod względem fizykochemicznym kwestionowano 1 próbkę wody</w:t>
      </w:r>
      <w:r w:rsidRPr="00D0588E">
        <w:rPr>
          <w:rFonts w:ascii="Calibri" w:hAnsi="Calibri" w:cs="Calibri"/>
        </w:rPr>
        <w:t xml:space="preserve">: w próbce wody pobranej w lutym w ramach nadzoru </w:t>
      </w:r>
      <w:proofErr w:type="spellStart"/>
      <w:r w:rsidRPr="00D0588E">
        <w:rPr>
          <w:rFonts w:ascii="Calibri" w:hAnsi="Calibri" w:cs="Calibri"/>
        </w:rPr>
        <w:t>PPIS</w:t>
      </w:r>
      <w:proofErr w:type="spellEnd"/>
      <w:r w:rsidRPr="00D0588E">
        <w:rPr>
          <w:rFonts w:ascii="Calibri" w:hAnsi="Calibri" w:cs="Calibri"/>
        </w:rPr>
        <w:t xml:space="preserve"> w Cieszynie stwierdzono obniżoną wartość odczynu </w:t>
      </w:r>
      <w:proofErr w:type="spellStart"/>
      <w:r w:rsidRPr="00D0588E">
        <w:rPr>
          <w:rFonts w:ascii="Calibri" w:hAnsi="Calibri" w:cs="Calibri"/>
        </w:rPr>
        <w:t>pH</w:t>
      </w:r>
      <w:proofErr w:type="spellEnd"/>
      <w:r w:rsidRPr="00D0588E">
        <w:rPr>
          <w:rFonts w:ascii="Calibri" w:hAnsi="Calibri" w:cs="Calibri"/>
        </w:rPr>
        <w:t xml:space="preserve"> w wodzie pochodzącej z wodociągu publicznego Pogórze.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bookmarkStart w:id="4" w:name="bookmark4"/>
      <w:r w:rsidRPr="00CF2AF5">
        <w:rPr>
          <w:rFonts w:ascii="Calibri" w:hAnsi="Calibri" w:cs="Calibri"/>
          <w:b/>
        </w:rPr>
        <w:t>Wpływ przekroczeń wartości dopuszczalnych parametrów jakości wody na zdrowie konsumentów:</w:t>
      </w:r>
      <w:bookmarkEnd w:id="4"/>
    </w:p>
    <w:p w:rsidR="00D0588E" w:rsidRPr="00D0588E" w:rsidRDefault="00D0588E" w:rsidP="00D0588E">
      <w:pPr>
        <w:rPr>
          <w:rFonts w:ascii="Calibri" w:hAnsi="Calibri" w:cs="Calibri"/>
        </w:rPr>
      </w:pPr>
      <w:r w:rsidRPr="00CF2AF5">
        <w:rPr>
          <w:rFonts w:ascii="Calibri" w:hAnsi="Calibri" w:cs="Calibri"/>
          <w:b/>
        </w:rPr>
        <w:t>bakterie grupy coli</w:t>
      </w:r>
      <w:r w:rsidRPr="00D0588E">
        <w:rPr>
          <w:rFonts w:ascii="Calibri" w:hAnsi="Calibri" w:cs="Calibri"/>
        </w:rPr>
        <w:t xml:space="preserve"> - uznawane są za odpowiedni wskaźnik mikrobiologiczny jakości wody przeznaczonej do spożycia, ze względu na łatwość wykrywania i oznaczania w wodzie. Bakterie te nie zawsze świadczą o zanieczyszczeniu wody patogenami. Poza występowaniem w odchodach, można je również znaleźć w wodach bogatych w substancje odżywcze, w glebie, w rozkładających się resztkach roślinnych. Stwierdzenie ich obecności w wodzie do spożycia świadczy o nieodpowiednim procesie uzdatniania, nadmiernej zawartość substancji odżywczych w uzdatnionej wodzie, jak również może wskazywać na wtórne zanieczyszczenie wody;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CF2AF5">
        <w:rPr>
          <w:rFonts w:ascii="Calibri" w:hAnsi="Calibri" w:cs="Calibri"/>
          <w:b/>
        </w:rPr>
        <w:t xml:space="preserve">odczyn </w:t>
      </w:r>
      <w:proofErr w:type="spellStart"/>
      <w:r w:rsidRPr="00CF2AF5">
        <w:rPr>
          <w:rFonts w:ascii="Calibri" w:hAnsi="Calibri" w:cs="Calibri"/>
          <w:b/>
        </w:rPr>
        <w:t>pH</w:t>
      </w:r>
      <w:proofErr w:type="spellEnd"/>
      <w:r w:rsidRPr="00D0588E">
        <w:rPr>
          <w:rFonts w:ascii="Calibri" w:hAnsi="Calibri" w:cs="Calibri"/>
        </w:rPr>
        <w:t xml:space="preserve"> - wskaźnik dla wody przeznaczonej do picia, który nie ma bezpośredniego znaczenia dla konsumentów wody, ale jest jednym z najważniejszych eksploatacyjnych parametrów jakości wody. Źródła podają, że przy wysokich wartościach </w:t>
      </w:r>
      <w:proofErr w:type="spellStart"/>
      <w:r w:rsidRPr="00D0588E">
        <w:rPr>
          <w:rFonts w:ascii="Calibri" w:hAnsi="Calibri" w:cs="Calibri"/>
        </w:rPr>
        <w:t>pH</w:t>
      </w:r>
      <w:proofErr w:type="spellEnd"/>
      <w:r w:rsidRPr="00D0588E">
        <w:rPr>
          <w:rFonts w:ascii="Calibri" w:hAnsi="Calibri" w:cs="Calibri"/>
        </w:rPr>
        <w:t>, wyższych niż 11 występuje podrażnienie oczu i nasilenie schorzeń skóry.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W wodzie wodociągowej na terenie Cieszyna stwierdzane były, podobnie jak w latach ubiegłych, </w:t>
      </w:r>
      <w:r w:rsidRPr="00CF2AF5">
        <w:rPr>
          <w:rFonts w:ascii="Calibri" w:hAnsi="Calibri" w:cs="Calibri"/>
          <w:b/>
        </w:rPr>
        <w:t>niskie wartości magnezu</w:t>
      </w:r>
      <w:r w:rsidRPr="00D0588E">
        <w:rPr>
          <w:rFonts w:ascii="Calibri" w:hAnsi="Calibri" w:cs="Calibri"/>
        </w:rPr>
        <w:t>, w związku z powyższym w dalszym ciągu celowym jest stosowanie przez mieszkańców żywności bogatej lub wzbogaconej w przyswajalny magnez. Magnez stabilizuje funkcje układu nerwowego i usprawnia pracę szarych komórek. Biorąc udział w przemianie węglowodanów, białek oraz tłuszczów, warunkuje dostawę energii do tkanek i komórek organizmu, zwłaszcza do wrażliwych na jej niedobór komórek nerwowych mózgu. Zmniejsza też ich nadpobudliwość, działając na organizm uspokajająco. Poprawia</w:t>
      </w:r>
      <w:r w:rsidR="00CF2AF5">
        <w:rPr>
          <w:rFonts w:ascii="Calibri" w:hAnsi="Calibri" w:cs="Calibri"/>
        </w:rPr>
        <w:t xml:space="preserve"> </w:t>
      </w:r>
      <w:r w:rsidRPr="00D0588E">
        <w:rPr>
          <w:rFonts w:ascii="Calibri" w:hAnsi="Calibri" w:cs="Calibri"/>
        </w:rPr>
        <w:t>pamięć i myślenie. Magnez jest odpowiedzialny za sprawne działanie układu naczyniowo-sercowego. Magnez nie tylko zapobiega chorobom serca, ale wspomaga ich leczenie. Jeśli w organizmie występuje niedobór magnezu, ściany naczyń krwionośnych mogą się obkurczać, a to prowadzi do wzrostu ciśnienia krwi.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>Zgłoszone reakcje niepożądane związane ze spożyciem wody na danym obszarze.</w:t>
      </w:r>
    </w:p>
    <w:p w:rsidR="00D0588E" w:rsidRPr="00D0588E" w:rsidRDefault="00D0588E" w:rsidP="00D0588E">
      <w:pPr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Do </w:t>
      </w:r>
      <w:proofErr w:type="spellStart"/>
      <w:r w:rsidRPr="00D0588E">
        <w:rPr>
          <w:rFonts w:ascii="Calibri" w:hAnsi="Calibri" w:cs="Calibri"/>
        </w:rPr>
        <w:t>PPIS</w:t>
      </w:r>
      <w:proofErr w:type="spellEnd"/>
      <w:r w:rsidRPr="00D0588E">
        <w:rPr>
          <w:rFonts w:ascii="Calibri" w:hAnsi="Calibri" w:cs="Calibri"/>
        </w:rPr>
        <w:t xml:space="preserve"> w Cieszynie w 2022 r. nie zgłoszono niepożądanych reakcji związanych ze spożyciem wody na danym obszarze.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 xml:space="preserve">Prowadzone postępowania </w:t>
      </w:r>
      <w:proofErr w:type="spellStart"/>
      <w:r w:rsidRPr="00CF2AF5">
        <w:rPr>
          <w:rFonts w:ascii="Calibri" w:hAnsi="Calibri" w:cs="Calibri"/>
          <w:b/>
          <w:lang w:val="en-US"/>
        </w:rPr>
        <w:t>administracy</w:t>
      </w:r>
      <w:r w:rsidRPr="00CF2AF5">
        <w:rPr>
          <w:rFonts w:ascii="Calibri" w:hAnsi="Calibri" w:cs="Calibri"/>
          <w:b/>
        </w:rPr>
        <w:t>jne</w:t>
      </w:r>
      <w:proofErr w:type="spellEnd"/>
      <w:r w:rsidRPr="00CF2AF5">
        <w:rPr>
          <w:rFonts w:ascii="Calibri" w:hAnsi="Calibri" w:cs="Calibri"/>
          <w:b/>
        </w:rPr>
        <w:t xml:space="preserve"> w zakresie jakości wody.</w:t>
      </w:r>
    </w:p>
    <w:p w:rsidR="00D0588E" w:rsidRPr="00D0588E" w:rsidRDefault="00D0588E" w:rsidP="00D0588E">
      <w:pPr>
        <w:rPr>
          <w:rFonts w:ascii="Calibri" w:hAnsi="Calibri" w:cs="Calibri"/>
        </w:rPr>
      </w:pPr>
      <w:proofErr w:type="spellStart"/>
      <w:r w:rsidRPr="00D0588E">
        <w:rPr>
          <w:rFonts w:ascii="Calibri" w:hAnsi="Calibri" w:cs="Calibri"/>
        </w:rPr>
        <w:t>PPIS</w:t>
      </w:r>
      <w:proofErr w:type="spellEnd"/>
      <w:r w:rsidRPr="00D0588E">
        <w:rPr>
          <w:rFonts w:ascii="Calibri" w:hAnsi="Calibri" w:cs="Calibri"/>
        </w:rPr>
        <w:t xml:space="preserve"> w Cieszynie w 2022 r. prowadził 1 postępowanie administracyjne na obszarze Cieszyna - ze względu na stwierdzenie niewłaściwej jakości wody pod względem mikrobiologicznym, które zostało umorzone.</w:t>
      </w:r>
    </w:p>
    <w:p w:rsidR="00D0588E" w:rsidRPr="00CF2AF5" w:rsidRDefault="00D0588E" w:rsidP="00D0588E">
      <w:pPr>
        <w:rPr>
          <w:rFonts w:ascii="Calibri" w:hAnsi="Calibri" w:cs="Calibri"/>
          <w:b/>
        </w:rPr>
      </w:pPr>
      <w:r w:rsidRPr="00CF2AF5">
        <w:rPr>
          <w:rFonts w:ascii="Calibri" w:hAnsi="Calibri" w:cs="Calibri"/>
          <w:b/>
        </w:rPr>
        <w:t>Działania naprawcze prowadzone prze</w:t>
      </w:r>
      <w:bookmarkStart w:id="5" w:name="_GoBack"/>
      <w:bookmarkEnd w:id="5"/>
      <w:r w:rsidRPr="00CF2AF5">
        <w:rPr>
          <w:rFonts w:ascii="Calibri" w:hAnsi="Calibri" w:cs="Calibri"/>
          <w:b/>
        </w:rPr>
        <w:t>z przedsiębiorstwo wodociągowo-kanalizacyjne.</w:t>
      </w:r>
    </w:p>
    <w:p w:rsidR="00D0588E" w:rsidRPr="00D0588E" w:rsidRDefault="00D0588E" w:rsidP="00CF2AF5">
      <w:pPr>
        <w:spacing w:after="1200"/>
        <w:rPr>
          <w:rFonts w:ascii="Calibri" w:hAnsi="Calibri" w:cs="Calibri"/>
        </w:rPr>
      </w:pPr>
      <w:r w:rsidRPr="00D0588E">
        <w:rPr>
          <w:rFonts w:ascii="Calibri" w:hAnsi="Calibri" w:cs="Calibri"/>
        </w:rPr>
        <w:t xml:space="preserve">W związku z dwoma przypadkami stwierdzenia niewłaściwej jakości wody przedsiębiorca wodociągowy podjął działania naprawcze polegające m. </w:t>
      </w:r>
      <w:r w:rsidRPr="00D0588E">
        <w:rPr>
          <w:rFonts w:ascii="Calibri" w:hAnsi="Calibri" w:cs="Calibri"/>
          <w:lang w:val="en-US"/>
        </w:rPr>
        <w:t xml:space="preserve">in. </w:t>
      </w:r>
      <w:r w:rsidRPr="00D0588E">
        <w:rPr>
          <w:rFonts w:ascii="Calibri" w:hAnsi="Calibri" w:cs="Calibri"/>
        </w:rPr>
        <w:t xml:space="preserve">na płukaniu sieci, dokonaniu przeglądu systemów uzdatniania wody, zwiększeniu dozowania środka dezynfekcyjnego. Po przeprowadzanych działaniach przedsiębiorca przekazał do </w:t>
      </w:r>
      <w:proofErr w:type="spellStart"/>
      <w:r w:rsidRPr="00D0588E">
        <w:rPr>
          <w:rFonts w:ascii="Calibri" w:hAnsi="Calibri" w:cs="Calibri"/>
        </w:rPr>
        <w:t>PPIS</w:t>
      </w:r>
      <w:proofErr w:type="spellEnd"/>
      <w:r w:rsidRPr="00D0588E">
        <w:rPr>
          <w:rFonts w:ascii="Calibri" w:hAnsi="Calibri" w:cs="Calibri"/>
        </w:rPr>
        <w:t xml:space="preserve"> w Cieszynie niekwestionowane wyniki badań wody.</w:t>
      </w:r>
    </w:p>
    <w:sectPr w:rsidR="00D0588E" w:rsidRPr="00D0588E" w:rsidSect="002A26ED">
      <w:endnotePr>
        <w:numFmt w:val="chicago"/>
      </w:endnotePr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74" w:rsidRDefault="00713374" w:rsidP="00853815">
      <w:pPr>
        <w:spacing w:after="0" w:line="240" w:lineRule="auto"/>
      </w:pPr>
      <w:r>
        <w:separator/>
      </w:r>
    </w:p>
  </w:endnote>
  <w:endnote w:type="continuationSeparator" w:id="0">
    <w:p w:rsidR="00713374" w:rsidRDefault="00713374" w:rsidP="00853815">
      <w:pPr>
        <w:spacing w:after="0" w:line="240" w:lineRule="auto"/>
      </w:pPr>
      <w:r>
        <w:continuationSeparator/>
      </w:r>
    </w:p>
  </w:endnote>
  <w:endnote w:id="1">
    <w:p w:rsidR="00CF2AF5" w:rsidRDefault="00CF2AF5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F2AF5">
        <w:t>nie przeprowadzono wszystkich zaplanowanych na 2022 r. badań w ramach urzędowej kontroli w związku z utrzymującym się w I kwartale stanem epidemii - co skutkowało oddelegowaniem pracowników do zadań związanych ze zwalczaniem i zapobieganiem szerzeniu się Sars-Cov-2.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74" w:rsidRDefault="00713374" w:rsidP="00853815">
      <w:pPr>
        <w:spacing w:after="0" w:line="240" w:lineRule="auto"/>
      </w:pPr>
      <w:r>
        <w:separator/>
      </w:r>
    </w:p>
  </w:footnote>
  <w:footnote w:type="continuationSeparator" w:id="0">
    <w:p w:rsidR="00713374" w:rsidRDefault="00713374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F5153"/>
    <w:multiLevelType w:val="multilevel"/>
    <w:tmpl w:val="A82AC26C"/>
    <w:numStyleLink w:val="Lista1PJ"/>
  </w:abstractNum>
  <w:abstractNum w:abstractNumId="2" w15:restartNumberingAfterBreak="0">
    <w:nsid w:val="033236BB"/>
    <w:multiLevelType w:val="multilevel"/>
    <w:tmpl w:val="A82AC26C"/>
    <w:numStyleLink w:val="Lista1PJ"/>
  </w:abstractNum>
  <w:abstractNum w:abstractNumId="3" w15:restartNumberingAfterBreak="0">
    <w:nsid w:val="0ADD7471"/>
    <w:multiLevelType w:val="multilevel"/>
    <w:tmpl w:val="A82AC26C"/>
    <w:numStyleLink w:val="Lista1PJ"/>
  </w:abstractNum>
  <w:abstractNum w:abstractNumId="4" w15:restartNumberingAfterBreak="0">
    <w:nsid w:val="13DC1687"/>
    <w:multiLevelType w:val="multilevel"/>
    <w:tmpl w:val="A82AC26C"/>
    <w:numStyleLink w:val="Lista1PJ"/>
  </w:abstractNum>
  <w:abstractNum w:abstractNumId="5" w15:restartNumberingAfterBreak="0">
    <w:nsid w:val="24F74968"/>
    <w:multiLevelType w:val="multilevel"/>
    <w:tmpl w:val="A82AC26C"/>
    <w:numStyleLink w:val="Lista1PJ"/>
  </w:abstractNum>
  <w:abstractNum w:abstractNumId="6" w15:restartNumberingAfterBreak="0">
    <w:nsid w:val="2B272B0C"/>
    <w:multiLevelType w:val="hybridMultilevel"/>
    <w:tmpl w:val="9346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7900"/>
    <w:multiLevelType w:val="hybridMultilevel"/>
    <w:tmpl w:val="4358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C3F0B"/>
    <w:multiLevelType w:val="multilevel"/>
    <w:tmpl w:val="A82AC26C"/>
    <w:numStyleLink w:val="Lista1PJ"/>
  </w:abstractNum>
  <w:abstractNum w:abstractNumId="9" w15:restartNumberingAfterBreak="0">
    <w:nsid w:val="37B15139"/>
    <w:multiLevelType w:val="multilevel"/>
    <w:tmpl w:val="A82AC26C"/>
    <w:numStyleLink w:val="Lista1PJ"/>
  </w:abstractNum>
  <w:abstractNum w:abstractNumId="10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C4855"/>
    <w:multiLevelType w:val="multilevel"/>
    <w:tmpl w:val="A82AC26C"/>
    <w:numStyleLink w:val="Lista1PJ"/>
  </w:abstractNum>
  <w:abstractNum w:abstractNumId="13" w15:restartNumberingAfterBreak="0">
    <w:nsid w:val="412C75D8"/>
    <w:multiLevelType w:val="multilevel"/>
    <w:tmpl w:val="A82AC26C"/>
    <w:numStyleLink w:val="Lista1PJ"/>
  </w:abstractNum>
  <w:abstractNum w:abstractNumId="14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24ACE"/>
    <w:multiLevelType w:val="multilevel"/>
    <w:tmpl w:val="A82AC26C"/>
    <w:numStyleLink w:val="Lista1PJ"/>
  </w:abstractNum>
  <w:abstractNum w:abstractNumId="16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523F1"/>
    <w:multiLevelType w:val="multilevel"/>
    <w:tmpl w:val="A82AC26C"/>
    <w:numStyleLink w:val="Lista1PJ"/>
  </w:abstractNum>
  <w:abstractNum w:abstractNumId="20" w15:restartNumberingAfterBreak="0">
    <w:nsid w:val="673D4E4D"/>
    <w:multiLevelType w:val="multilevel"/>
    <w:tmpl w:val="A82AC26C"/>
    <w:numStyleLink w:val="Lista1PJ"/>
  </w:abstractNum>
  <w:abstractNum w:abstractNumId="21" w15:restartNumberingAfterBreak="0">
    <w:nsid w:val="6C4733FD"/>
    <w:multiLevelType w:val="hybridMultilevel"/>
    <w:tmpl w:val="CCA4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F5923"/>
    <w:multiLevelType w:val="multilevel"/>
    <w:tmpl w:val="A82AC26C"/>
    <w:numStyleLink w:val="Lista1PJ"/>
  </w:abstractNum>
  <w:abstractNum w:abstractNumId="23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B2BF4"/>
    <w:multiLevelType w:val="multilevel"/>
    <w:tmpl w:val="A82AC26C"/>
    <w:numStyleLink w:val="Lista1PJ"/>
  </w:abstractNum>
  <w:abstractNum w:abstractNumId="25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1"/>
  </w:num>
  <w:num w:numId="5">
    <w:abstractNumId w:val="3"/>
  </w:num>
  <w:num w:numId="6">
    <w:abstractNumId w:val="20"/>
  </w:num>
  <w:num w:numId="7">
    <w:abstractNumId w:val="22"/>
  </w:num>
  <w:num w:numId="8">
    <w:abstractNumId w:val="16"/>
  </w:num>
  <w:num w:numId="9">
    <w:abstractNumId w:val="4"/>
  </w:num>
  <w:num w:numId="10">
    <w:abstractNumId w:val="18"/>
  </w:num>
  <w:num w:numId="11">
    <w:abstractNumId w:val="12"/>
  </w:num>
  <w:num w:numId="12">
    <w:abstractNumId w:val="24"/>
  </w:num>
  <w:num w:numId="13">
    <w:abstractNumId w:val="23"/>
  </w:num>
  <w:num w:numId="14">
    <w:abstractNumId w:val="15"/>
  </w:num>
  <w:num w:numId="15">
    <w:abstractNumId w:val="25"/>
  </w:num>
  <w:num w:numId="16">
    <w:abstractNumId w:val="8"/>
  </w:num>
  <w:num w:numId="17">
    <w:abstractNumId w:val="14"/>
  </w:num>
  <w:num w:numId="18">
    <w:abstractNumId w:val="5"/>
  </w:num>
  <w:num w:numId="19">
    <w:abstractNumId w:val="17"/>
  </w:num>
  <w:num w:numId="20">
    <w:abstractNumId w:val="2"/>
  </w:num>
  <w:num w:numId="21">
    <w:abstractNumId w:val="21"/>
  </w:num>
  <w:num w:numId="22">
    <w:abstractNumId w:val="1"/>
  </w:num>
  <w:num w:numId="23">
    <w:abstractNumId w:val="6"/>
  </w:num>
  <w:num w:numId="24">
    <w:abstractNumId w:val="13"/>
  </w:num>
  <w:num w:numId="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073F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4721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3B50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3374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C39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3D76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626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2AF5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88E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096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AF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A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cieszy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3275-4AC1-438E-9EB2-13FA787A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2023-09-21T10:10:00Z</dcterms:created>
  <dcterms:modified xsi:type="dcterms:W3CDTF">2023-09-21T10:31:00Z</dcterms:modified>
</cp:coreProperties>
</file>