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line="240" w:lineRule="auto"/>
        <w:ind w:left="284" w:hanging="284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................................................</w:t>
      </w:r>
    </w:p>
    <w:p>
      <w:pPr>
        <w:spacing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(miejscowość, data)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Wykonawca/ Wykonawcy wspólnie ubiegający się o udzielenie zamówienia*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 (w przypadku Wykonawców wspólnie ubiegających się o udzielenie zamówienia w formularzu Oferty należy wpisać wszystkich Wykonawców wspólnie ubiegających się o udzielenie zamówienia)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Nazwa:…………………………………………………………………………………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Województwo:………………………………………………………………………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Miejscowość:…………………………………………………………………………</w:t>
      </w:r>
    </w:p>
    <w:p>
      <w:pPr>
        <w:spacing w:line="360" w:lineRule="auto"/>
        <w:ind w:right="-11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Kod pocztowy:………………………………………………………………………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Kraj:……………………………………………………………………………………</w:t>
      </w:r>
    </w:p>
    <w:p>
      <w:pPr>
        <w:spacing w:line="360" w:lineRule="auto"/>
        <w:ind w:right="2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Adres pocztowy (ulic, nr domu i lokalu):  ……………………………………………</w:t>
      </w:r>
    </w:p>
    <w:p>
      <w:pPr>
        <w:spacing w:line="36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Tel.:………………………………………</w:t>
      </w:r>
    </w:p>
    <w:p>
      <w:pPr>
        <w:spacing w:line="36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Fax:………………………………………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e-mail: ………………………………</w:t>
      </w:r>
    </w:p>
    <w:p>
      <w:pPr>
        <w:spacing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Gmina Cieszyn</w:t>
      </w: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Rynek 1, 43-400 Cieszyn</w:t>
      </w:r>
    </w:p>
    <w:p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F E R TA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Przystępując do przetargu na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UBEZPIECZENIE MIENIA I ODPOWIEDZIALNOŚCI ZAMAWIAJĄCEGO </w:t>
      </w:r>
      <w:r>
        <w:rPr>
          <w:rFonts w:ascii="Tahoma" w:eastAsia="Times New Roman" w:hAnsi="Tahoma" w:cs="Tahoma"/>
          <w:sz w:val="20"/>
          <w:szCs w:val="20"/>
          <w:lang w:eastAsia="pl-PL"/>
        </w:rPr>
        <w:t>zgodnie ze SIWZ, oferujemy wykonanie zamówienia: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 Zamówienia*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II Zamówienia*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części III Zamówienia*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na następujących warunkach: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Część I Zamówienia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ubezpieczenia majątkowe: od  01.01.2018 r. do 31.12.2019 r.</w:t>
      </w:r>
    </w:p>
    <w:p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tym cena za poszczególne ryzyka: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5861"/>
        <w:gridCol w:w="2766"/>
      </w:tblGrid>
      <w:tr>
        <w:trPr>
          <w:trHeight w:val="447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mienia od ognia i innych zdarzeń losowych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mienia od kradzieży z włamaniem i rabunku oraz od kradzieży zwykłej,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361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Ubezpieczenie odpowiedzialności cywilnej deliktowej i kontraktowej 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414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odpowiedzialności cywilnej za drogi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szyb od stłuczenia,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413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Ubezpieczenie maszyn od uszkodzeń od wszystkich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ryzyk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</w:tbl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40 oraz następujące klauzule fakultatywne (w części I zamówienia):</w:t>
      </w:r>
    </w:p>
    <w:p>
      <w:pPr>
        <w:suppressAutoHyphens/>
        <w:spacing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Ind w:w="-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6234"/>
        <w:gridCol w:w="1064"/>
        <w:gridCol w:w="1509"/>
      </w:tblGrid>
      <w:tr>
        <w:trPr>
          <w:trHeight w:val="480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spacing w:line="240" w:lineRule="auto"/>
              <w:ind w:left="-106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413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wyrównania sumy ubezpieczenia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4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aktów terroryzmu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344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strajków, rozruchów, zamieszek społecznych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11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 pkt</w:t>
            </w:r>
          </w:p>
        </w:tc>
      </w:tr>
      <w:tr>
        <w:trPr>
          <w:trHeight w:val="480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zniesienia limitów odpowiedzialności dla klauzul automatycznego pokrycia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341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zniżki z tytułu niskiej szkodowości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04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kompensacji sum ubezpieczenia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80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uznania kosztów dodatkowych wynikających z braku części zamiennych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80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Klauzula ubezpieczenia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nasadzeń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drzew i krzewów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69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168 godzin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 pkt</w:t>
            </w:r>
          </w:p>
        </w:tc>
      </w:tr>
      <w:tr>
        <w:trPr>
          <w:trHeight w:val="469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zdarzenia powiązane przyczynowo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69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odpowiedzialności za długotrwałe oddziaływanie czynników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69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naruszenia dóbr osobistych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20"/>
          <w:jc w:val="center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Klauzula wężykowa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</w:tbl>
    <w:p>
      <w:pPr>
        <w:spacing w:line="240" w:lineRule="auto"/>
        <w:ind w:left="60"/>
        <w:jc w:val="both"/>
        <w:rPr>
          <w:rFonts w:ascii="Tahoma" w:eastAsia="Times New Roman" w:hAnsi="Tahoma" w:cs="Tahoma"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2"/>
        <w:jc w:val="both"/>
        <w:rPr>
          <w:rFonts w:ascii="Tahoma" w:eastAsia="Times New Roman" w:hAnsi="Tahoma" w:cs="Tahoma"/>
          <w:position w:val="-4"/>
          <w:sz w:val="20"/>
          <w:szCs w:val="20"/>
          <w:lang w:eastAsia="pl-PL"/>
        </w:rPr>
      </w:pPr>
      <w:r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360" w:lineRule="auto"/>
        <w:ind w:left="62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  <w:t>Wprowadzamy następujące postanowienia dodatkowe do oferty dotyczące zwiększenia limitów: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2658"/>
        <w:gridCol w:w="1842"/>
      </w:tblGrid>
      <w:tr>
        <w:tc>
          <w:tcPr>
            <w:tcW w:w="528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Opis postanowienia dodatkowego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u w:val="single"/>
                <w:lang w:eastAsia="pl-PL"/>
              </w:rPr>
              <w:t>Zmiany limitów wprowadzone w ofercie przez Wykonawcę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pl-PL"/>
              </w:rPr>
              <w:t>TAK/NIE</w:t>
            </w:r>
          </w:p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(prosimy wypełnić tylko jedną opcję dla zwiększenia limitu w danym ryzyku*)</w:t>
            </w: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przepięcia/przetężenia (w klauzuli przepięcia) 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ryzyka dewastacji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Zwiększenie limitu odpowiedzialności dla ryzyka zalania przez nieszczelny dach, okna i złącza (klauzula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zalaniowa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rPr>
          <w:trHeight w:val="274"/>
        </w:trP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deliktowej i kontraktowej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>
        <w:tc>
          <w:tcPr>
            <w:tcW w:w="5281" w:type="dxa"/>
            <w:vMerge w:val="restart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sumy gwarancyjnej w ubezpieczeniu odpowiedzialności cywilnej zarządcy drogi</w:t>
            </w: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25%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  <w:tr>
        <w:tc>
          <w:tcPr>
            <w:tcW w:w="5281" w:type="dxa"/>
            <w:vMerge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58" w:type="dxa"/>
            <w:shd w:val="clear" w:color="auto" w:fill="auto"/>
          </w:tcPr>
          <w:p>
            <w:pPr>
              <w:spacing w:line="240" w:lineRule="auto"/>
              <w:jc w:val="both"/>
              <w:outlineLvl w:val="0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Zwiększenie SG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40" w:lineRule="auto"/>
              <w:outlineLvl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>
      <w:pPr>
        <w:spacing w:line="240" w:lineRule="auto"/>
        <w:ind w:left="505"/>
        <w:jc w:val="both"/>
        <w:rPr>
          <w:rFonts w:ascii="Tahoma" w:eastAsia="Calibri" w:hAnsi="Tahoma" w:cs="Tahoma"/>
          <w:position w:val="-4"/>
          <w:sz w:val="20"/>
          <w:szCs w:val="20"/>
          <w:lang w:eastAsia="pl-PL"/>
        </w:rPr>
      </w:pPr>
    </w:p>
    <w:p>
      <w:pPr>
        <w:spacing w:line="240" w:lineRule="auto"/>
        <w:ind w:left="505"/>
        <w:jc w:val="both"/>
        <w:rPr>
          <w:rFonts w:ascii="Tahoma" w:eastAsia="Calibri" w:hAnsi="Tahoma" w:cs="Tahoma"/>
          <w:position w:val="-4"/>
          <w:sz w:val="20"/>
          <w:szCs w:val="20"/>
          <w:lang w:eastAsia="pl-PL"/>
        </w:rPr>
      </w:pPr>
      <w:r>
        <w:rPr>
          <w:rFonts w:ascii="Tahoma" w:eastAsia="Calibri" w:hAnsi="Tahoma" w:cs="Tahoma"/>
          <w:position w:val="-4"/>
          <w:sz w:val="20"/>
          <w:szCs w:val="20"/>
          <w:lang w:eastAsia="pl-PL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  <w:t xml:space="preserve">Część II Zamówienia 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 dwa okresy roczne począwszy od 01.01.2018 r., maksymalnie okres ubezpieczeń komunikacyjnych zakończy się 30.12.2020 r.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tym cena za poszczególne ryzyka:</w:t>
      </w: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5861"/>
        <w:gridCol w:w="2766"/>
      </w:tblGrid>
      <w:tr>
        <w:trPr>
          <w:trHeight w:val="447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autoSpaceDE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odpowiedzialności cywilnej posiadaczy pojazdów mechanicznych,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471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autoSpaceDE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autocasco,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361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autoSpaceDE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następstw nieszczęśliwych wypadków kierowcy i pasażerów,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Ubezpieczenie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assistance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</w:tbl>
    <w:p>
      <w:pPr>
        <w:tabs>
          <w:tab w:val="left" w:pos="360"/>
          <w:tab w:val="num" w:pos="928"/>
        </w:tabs>
        <w:spacing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4 oraz następujące klauzule fakultatywne w części II zamówienia:</w:t>
      </w:r>
    </w:p>
    <w:p>
      <w:pPr>
        <w:suppressAutoHyphens/>
        <w:spacing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5742"/>
        <w:gridCol w:w="1245"/>
        <w:gridCol w:w="1416"/>
      </w:tblGrid>
      <w:tr>
        <w:trPr>
          <w:trHeight w:val="480"/>
          <w:jc w:val="center"/>
        </w:trPr>
        <w:tc>
          <w:tcPr>
            <w:tcW w:w="134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386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3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pkt</w:t>
            </w:r>
          </w:p>
        </w:tc>
      </w:tr>
      <w:tr>
        <w:trPr>
          <w:trHeight w:val="344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gwarantowanej sumy ubezpieczenia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05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pokrycia kosztów wymiany zamków i zabezpieczeń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zassania wody do silnika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zmiany definicji szkody całkowitej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okolicznościowa w AC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odpowiedzialności dla szkód kradzieżowych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zabezpieczeń dla nowo nabytych pojazdów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holowania 300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holowania bez limitu kilometrów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  <w:tr>
        <w:trPr>
          <w:trHeight w:val="411"/>
          <w:jc w:val="center"/>
        </w:trPr>
        <w:tc>
          <w:tcPr>
            <w:tcW w:w="1346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42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wynajmu pojazdu zastępczego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 pkt</w:t>
            </w:r>
          </w:p>
        </w:tc>
      </w:tr>
    </w:tbl>
    <w:p>
      <w:pPr>
        <w:spacing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2"/>
        <w:jc w:val="both"/>
        <w:rPr>
          <w:rFonts w:ascii="Tahoma" w:eastAsia="Times New Roman" w:hAnsi="Tahoma" w:cs="Tahoma"/>
          <w:position w:val="-4"/>
          <w:sz w:val="20"/>
          <w:szCs w:val="20"/>
          <w:lang w:eastAsia="pl-PL"/>
        </w:rPr>
      </w:pPr>
      <w:r>
        <w:rPr>
          <w:rFonts w:ascii="Tahoma" w:eastAsia="Times New Roman" w:hAnsi="Tahoma" w:cs="Tahoma"/>
          <w:position w:val="-4"/>
          <w:sz w:val="20"/>
          <w:szCs w:val="20"/>
          <w:lang w:eastAsia="pl-PL"/>
        </w:rPr>
        <w:t>*W przypadku braku zapisu „TAK” lub „NIE” przy danej klauzuli Zamawiający uzna, że dana klauzula nie została zaakceptowana w ofercie przez Wykonawcę.</w:t>
      </w:r>
    </w:p>
    <w:p>
      <w:pPr>
        <w:spacing w:line="240" w:lineRule="auto"/>
        <w:ind w:left="62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  <w:t xml:space="preserve">Część III Zamówienia 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Oferta obejmuje okres ubezpieczenia wskazany w SIWZ to jest: od 01.01.2018 r. do 31.12.2019 r.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Cena łączna: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……………………… zł </w:t>
      </w:r>
    </w:p>
    <w:p>
      <w:pPr>
        <w:tabs>
          <w:tab w:val="left" w:pos="360"/>
          <w:tab w:val="num" w:pos="928"/>
        </w:tabs>
        <w:spacing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 tym cena za poszczególne ryzyka:</w:t>
      </w: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5857"/>
        <w:gridCol w:w="2769"/>
      </w:tblGrid>
      <w:tr>
        <w:trPr>
          <w:trHeight w:val="566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autoSpaceDE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następstw nieszczęśliwych wypadków osób skierowanych z urzędu pracy, wolontariuszy, praktykantów, stażystów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  <w:tr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>
            <w:pPr>
              <w:tabs>
                <w:tab w:val="left" w:pos="5245"/>
              </w:tabs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autoSpaceDE w:val="0"/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następstw nieszczęśliwych wypadków ochotniczej straży pożarnej</w:t>
            </w:r>
          </w:p>
        </w:tc>
        <w:tc>
          <w:tcPr>
            <w:tcW w:w="2835" w:type="dxa"/>
            <w:shd w:val="clear" w:color="auto" w:fill="auto"/>
            <w:vAlign w:val="bottom"/>
          </w:tcPr>
          <w:p>
            <w:pPr>
              <w:tabs>
                <w:tab w:val="left" w:pos="5245"/>
              </w:tabs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 zł</w:t>
            </w:r>
          </w:p>
        </w:tc>
      </w:tr>
    </w:tbl>
    <w:p>
      <w:pPr>
        <w:tabs>
          <w:tab w:val="left" w:pos="360"/>
          <w:tab w:val="num" w:pos="928"/>
        </w:tabs>
        <w:spacing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>
      <w:pPr>
        <w:tabs>
          <w:tab w:val="left" w:pos="360"/>
        </w:tabs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Akceptujemy wszystkie klauzule obligatoryjne od nr 1 do 3 oraz następujące klauzule fakultatywne w części III zamówienia:</w:t>
      </w:r>
    </w:p>
    <w:p>
      <w:pPr>
        <w:suppressAutoHyphens/>
        <w:spacing w:line="240" w:lineRule="auto"/>
        <w:ind w:left="349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0"/>
        <w:gridCol w:w="1377"/>
        <w:gridCol w:w="1669"/>
      </w:tblGrid>
      <w:tr>
        <w:trPr>
          <w:trHeight w:val="480"/>
          <w:jc w:val="center"/>
        </w:trPr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</w:t>
            </w:r>
          </w:p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klauzuli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>
        <w:trPr>
          <w:trHeight w:val="386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zaliczki na poczet odszkodowania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 pkt</w:t>
            </w:r>
          </w:p>
        </w:tc>
      </w:tr>
      <w:tr>
        <w:trPr>
          <w:trHeight w:val="413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funduszu prewencyjnego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 pkt</w:t>
            </w:r>
          </w:p>
        </w:tc>
      </w:tr>
      <w:tr>
        <w:trPr>
          <w:trHeight w:val="344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zasiłku dziennego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05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rozszerzenia zakresu o zawał serca i udar mózgu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  <w:tr>
        <w:trPr>
          <w:trHeight w:val="411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czasowego zakresu ochrony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  <w:tr>
        <w:trPr>
          <w:trHeight w:val="411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automatycznego pokrycia w NNW OSP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zwrotu kosztów badań lekarskich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 pkt</w:t>
            </w:r>
          </w:p>
        </w:tc>
      </w:tr>
      <w:tr>
        <w:trPr>
          <w:trHeight w:val="411"/>
          <w:jc w:val="center"/>
        </w:trPr>
        <w:tc>
          <w:tcPr>
            <w:tcW w:w="992" w:type="dxa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>
            <w:pPr>
              <w:spacing w:line="240" w:lineRule="auto"/>
              <w:ind w:left="1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Klauzula zwiększenia sumy ubezpieczenia w ubezpieczeniu bezimiennym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 pkt</w:t>
            </w:r>
          </w:p>
        </w:tc>
      </w:tr>
    </w:tbl>
    <w:p>
      <w:pPr>
        <w:spacing w:line="240" w:lineRule="auto"/>
        <w:ind w:left="60"/>
        <w:jc w:val="both"/>
        <w:rPr>
          <w:rFonts w:ascii="Tahoma" w:eastAsia="Times New Roman" w:hAnsi="Tahoma" w:cs="Tahoma"/>
          <w:b/>
          <w:position w:val="-4"/>
          <w:sz w:val="20"/>
          <w:szCs w:val="20"/>
          <w:lang w:eastAsia="pl-PL"/>
        </w:rPr>
      </w:pPr>
    </w:p>
    <w:p>
      <w:pPr>
        <w:spacing w:line="240" w:lineRule="auto"/>
        <w:ind w:left="62"/>
        <w:jc w:val="both"/>
        <w:rPr>
          <w:rFonts w:ascii="Tahoma" w:eastAsia="Times New Roman" w:hAnsi="Tahoma" w:cs="Tahoma"/>
          <w:position w:val="-4"/>
          <w:sz w:val="20"/>
          <w:szCs w:val="20"/>
          <w:lang w:eastAsia="pl-PL"/>
        </w:rPr>
      </w:pPr>
      <w:r>
        <w:rPr>
          <w:rFonts w:ascii="Tahoma" w:eastAsia="Times New Roman" w:hAnsi="Tahoma" w:cs="Tahoma"/>
          <w:position w:val="-4"/>
          <w:sz w:val="20"/>
          <w:szCs w:val="20"/>
          <w:lang w:eastAsia="pl-PL"/>
        </w:rPr>
        <w:lastRenderedPageBreak/>
        <w:t>*W przypadku braku zapisu „TAK” lub „NIE” przy danej klauzuli Zamawiający uzna, że dana klauzula nie została zaakceptowana w ofercie przez Wykonawcę.</w:t>
      </w:r>
    </w:p>
    <w:p>
      <w:pPr>
        <w:spacing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709" w:hanging="360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dotyczące wszystkich części Zamówienia:</w:t>
      </w:r>
    </w:p>
    <w:p>
      <w:pPr>
        <w:numPr>
          <w:ilvl w:val="0"/>
          <w:numId w:val="2"/>
        </w:numPr>
        <w:spacing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uzyskaliśmy informacje niezbędne do przygotowania oferty i właściwego wykonania zamówienia oraz przyjmujemy warunki określone w SIWZ.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jesteśmy związani niniejszą ofertą przez okres 30 dni od daty upływu terminu składania ofert.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przyjmujemy wartości podane w SIWZ jako podstawę do ustalenia wysokości każdego odszkodowania bez odnoszenia ich do wartości nowej danego środka trwałego. 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zawarte w warunkach umownych SIWZ zaproponowane przez Zamawiającego warunki płatności zostały przez naszą firmę zaakceptowane.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usługa ubezpieczenia zwolniona jest z podatku VAT zgodnie z art. 43 ust. 1 pkt 37 Ustawy z dnia 11 marca 2004 o podatku od towarów i usług (Dz.U. z 2017 r. poz. 1221).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i akceptujemy istotne postanowienia umowy określone w SIWZ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Następujące części niniejszego zamówienia powierzamy podwykonawcom:</w:t>
      </w:r>
    </w:p>
    <w:p>
      <w:pPr>
        <w:spacing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32"/>
        <w:gridCol w:w="4374"/>
      </w:tblGrid>
      <w:tr>
        <w:trPr>
          <w:jc w:val="center"/>
        </w:trPr>
        <w:tc>
          <w:tcPr>
            <w:tcW w:w="561" w:type="dxa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04" w:type="dxa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438" w:type="dxa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>
        <w:trPr>
          <w:jc w:val="center"/>
        </w:trPr>
        <w:tc>
          <w:tcPr>
            <w:tcW w:w="561" w:type="dxa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38" w:type="dxa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>
        <w:trPr>
          <w:jc w:val="center"/>
        </w:trPr>
        <w:tc>
          <w:tcPr>
            <w:tcW w:w="561" w:type="dxa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04" w:type="dxa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438" w:type="dxa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>
      <w:pPr>
        <w:spacing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  <w:t>Uwaga: wypełniają tylko Wykonawcy, którzy powierzą wykonanie części zamówienia podwykonawcom</w:t>
      </w:r>
    </w:p>
    <w:p>
      <w:pPr>
        <w:spacing w:line="240" w:lineRule="auto"/>
        <w:ind w:left="709" w:hanging="34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Zamawiający (jednostki Zamawiającego)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2017 r. poz. 1170),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300"/>
      </w:tblGrid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ubezpieczenia mające zastosowanie do danego ubezpieczenia</w:t>
            </w:r>
          </w:p>
        </w:tc>
      </w:tr>
      <w:tr>
        <w:tc>
          <w:tcPr>
            <w:tcW w:w="9589" w:type="dxa"/>
            <w:gridSpan w:val="2"/>
            <w:shd w:val="clear" w:color="auto" w:fill="auto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 zamówienia</w:t>
            </w:r>
          </w:p>
        </w:tc>
      </w:tr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>
        <w:tc>
          <w:tcPr>
            <w:tcW w:w="9589" w:type="dxa"/>
            <w:gridSpan w:val="2"/>
            <w:shd w:val="clear" w:color="auto" w:fill="auto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II zamówienia</w:t>
            </w:r>
          </w:p>
        </w:tc>
      </w:tr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>
        <w:tc>
          <w:tcPr>
            <w:tcW w:w="9589" w:type="dxa"/>
            <w:gridSpan w:val="2"/>
            <w:shd w:val="clear" w:color="auto" w:fill="auto"/>
          </w:tcPr>
          <w:p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III zamówienia</w:t>
            </w:r>
          </w:p>
        </w:tc>
      </w:tr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  <w:tr>
        <w:tc>
          <w:tcPr>
            <w:tcW w:w="4765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OWU …..</w:t>
            </w:r>
          </w:p>
        </w:tc>
      </w:tr>
    </w:tbl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Zobowiązujemy się, w przypadku wyboru naszej oferty, do dostarczenia Zamawiającemu ww. OWU przed podpisaniem umowy o udzielenie zamówienia publicznego.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Oświadczamy, że Wykonawca którego reprezentujemy jest:</w:t>
      </w:r>
    </w:p>
    <w:p>
      <w:pPr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lastRenderedPageBreak/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>
      <w:pPr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>
      <w:pPr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dużym przedsiębiorstwem</w:t>
      </w:r>
    </w:p>
    <w:p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Załącznikami do niniejszej oferty są:</w:t>
      </w:r>
    </w:p>
    <w:p>
      <w:pPr>
        <w:numPr>
          <w:ilvl w:val="0"/>
          <w:numId w:val="1"/>
        </w:numPr>
        <w:tabs>
          <w:tab w:val="num" w:pos="993"/>
        </w:tabs>
        <w:spacing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Oświadczenie nr 1,</w:t>
      </w:r>
    </w:p>
    <w:p>
      <w:pPr>
        <w:numPr>
          <w:ilvl w:val="0"/>
          <w:numId w:val="1"/>
        </w:numPr>
        <w:tabs>
          <w:tab w:val="num" w:pos="993"/>
        </w:tabs>
        <w:spacing w:line="240" w:lineRule="auto"/>
        <w:ind w:left="1134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Pełnomocnictwo dla osoby podpisującej ofertę (jeśli umocowanie nie wynika z KRS bądź dokumentu równorzędnego),</w:t>
      </w:r>
    </w:p>
    <w:p>
      <w:pPr>
        <w:spacing w:line="240" w:lineRule="auto"/>
        <w:ind w:left="77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sprawach nieuregulowanych w ofercie oraz SIWZ, zastosowanie mają OWU. W przypadku wystąpienia sprzecznych zapisów z OWU pierwszeństwo mają zapisy SIWZ i oferty.</w:t>
      </w:r>
    </w:p>
    <w:p>
      <w:pPr>
        <w:spacing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złożoną ofertę składa się........... ponumerowanych stron z zachowaniem ciągłości numeracji.</w:t>
      </w:r>
    </w:p>
    <w:p>
      <w:pPr>
        <w:spacing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>
      <w:pPr>
        <w:spacing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</w:p>
    <w:p>
      <w:pPr>
        <w:spacing w:line="240" w:lineRule="auto"/>
        <w:ind w:right="567" w:firstLine="396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Podpisano:     </w:t>
      </w:r>
    </w:p>
    <w:p>
      <w:pPr>
        <w:spacing w:line="240" w:lineRule="auto"/>
        <w:ind w:left="5672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</w:t>
      </w:r>
    </w:p>
    <w:p>
      <w:pPr>
        <w:spacing w:line="240" w:lineRule="auto"/>
        <w:ind w:left="5387" w:right="567"/>
        <w:jc w:val="center"/>
      </w:pPr>
      <w:r>
        <w:rPr>
          <w:rFonts w:ascii="Tahoma" w:eastAsia="Times New Roman" w:hAnsi="Tahoma" w:cs="Tahoma"/>
          <w:sz w:val="20"/>
          <w:szCs w:val="20"/>
          <w:lang w:eastAsia="pl-PL"/>
        </w:rPr>
        <w:t>(czytelny podpis lub w przypadku parafki  pieczątka imienna upełnomocnionego/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</w:t>
      </w:r>
      <w:bookmarkStart w:id="0" w:name="_GoBack"/>
      <w:bookmarkEnd w:id="0"/>
    </w:p>
    <w:sectPr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Arial" w:hAnsi="Arial" w:cs="Arial"/>
        <w:b/>
        <w:sz w:val="10"/>
        <w:szCs w:val="10"/>
        <w:u w:val="single"/>
      </w:rPr>
    </w:pPr>
    <w:r>
      <w:rPr>
        <w:rFonts w:ascii="Arial" w:hAnsi="Arial" w:cs="Arial"/>
        <w:b/>
        <w:sz w:val="10"/>
        <w:szCs w:val="10"/>
        <w:u w:val="single"/>
      </w:rPr>
      <w:t xml:space="preserve">Oznaczenie ISO: 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Nazwa firmy: Maximus Broker Sp. z o.o.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Nr dokumentu: F2/PS B5/1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Tytuł dokumentu: Specyfikacja istotnych warunków zamówienia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Data obowiązywania: 22.09.2017</w:t>
    </w:r>
  </w:p>
  <w:p>
    <w:pPr>
      <w:rPr>
        <w:rFonts w:ascii="Arial" w:hAnsi="Arial" w:cs="Arial"/>
        <w:color w:val="FF0000"/>
        <w:sz w:val="10"/>
        <w:szCs w:val="10"/>
      </w:rPr>
    </w:pPr>
    <w:r>
      <w:rPr>
        <w:rFonts w:ascii="Arial" w:hAnsi="Arial" w:cs="Arial"/>
        <w:sz w:val="10"/>
        <w:szCs w:val="10"/>
      </w:rPr>
      <w:t>Wersja wydania: 16</w:t>
    </w:r>
  </w:p>
  <w:p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\* Arabic  \* MERGEFORMAT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  \* Arabic  \* MERGEFORMAT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Arial" w:hAnsi="Arial" w:cs="Arial"/>
        <w:b/>
        <w:sz w:val="10"/>
        <w:szCs w:val="10"/>
        <w:u w:val="single"/>
      </w:rPr>
    </w:pPr>
    <w:r>
      <w:rPr>
        <w:rFonts w:ascii="Arial" w:hAnsi="Arial" w:cs="Arial"/>
        <w:b/>
        <w:sz w:val="10"/>
        <w:szCs w:val="10"/>
        <w:u w:val="single"/>
      </w:rPr>
      <w:t xml:space="preserve">Oznaczenie ISO: 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Nazwa firmy: Maximus Broker Sp. z o.o.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Nr dokumentu: F2/PS B5/1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Tytuł dokumentu: Specyfikacja istotnych warunków zamówienia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Data obowiązywania: 10.02.2014</w:t>
    </w:r>
  </w:p>
  <w:p>
    <w:pPr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styleId="Numerstrony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styleId="Numerstrony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</vt:lpstr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creator>Marcin Rycko</dc:creator>
  <cp:lastModifiedBy>Marcin Rycko</cp:lastModifiedBy>
  <cp:revision>2</cp:revision>
  <cp:lastPrinted>2017-12-04T11:03:00Z</cp:lastPrinted>
  <dcterms:created xsi:type="dcterms:W3CDTF">2017-12-01T08:44:00Z</dcterms:created>
  <dcterms:modified xsi:type="dcterms:W3CDTF">2017-12-04T11:03:00Z</dcterms:modified>
</cp:coreProperties>
</file>