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3" w:before="0" w:after="240"/>
        <w:ind w:right="45" w:hanging="0"/>
        <w:jc w:val="center"/>
        <w:rPr>
          <w:rFonts w:ascii="Calibri" w:hAnsi="Calibri"/>
          <w:b/>
          <w:b/>
          <w:spacing w:val="40"/>
          <w:sz w:val="48"/>
          <w:szCs w:val="48"/>
        </w:rPr>
      </w:pPr>
      <w:r>
        <w:rPr>
          <w:rFonts w:ascii="Calibri" w:hAnsi="Calibri"/>
          <w:b/>
          <w:spacing w:val="40"/>
          <w:sz w:val="48"/>
          <w:szCs w:val="4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2461895</wp:posOffset>
            </wp:positionH>
            <wp:positionV relativeFrom="paragraph">
              <wp:posOffset>66675</wp:posOffset>
            </wp:positionV>
            <wp:extent cx="943610" cy="295275"/>
            <wp:effectExtent l="0" t="0" r="0" b="0"/>
            <wp:wrapNone/>
            <wp:docPr id="1" name="Obraz 2" descr="stronka-mop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stronka-mops.t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3" w:before="960" w:after="240"/>
        <w:ind w:right="45" w:hanging="0"/>
        <w:jc w:val="center"/>
        <w:rPr>
          <w:rFonts w:ascii="Calibri" w:hAnsi="Calibri"/>
          <w:b/>
          <w:b/>
          <w:spacing w:val="40"/>
          <w:sz w:val="48"/>
          <w:szCs w:val="48"/>
        </w:rPr>
      </w:pPr>
      <w:r>
        <w:rPr>
          <w:rFonts w:ascii="Calibri" w:hAnsi="Calibri"/>
          <w:b/>
          <w:spacing w:val="40"/>
          <w:sz w:val="48"/>
          <w:szCs w:val="48"/>
        </w:rPr>
        <w:t>ZARZĄDZENIE</w:t>
      </w:r>
    </w:p>
    <w:p>
      <w:pPr>
        <w:pStyle w:val="Normal"/>
        <w:spacing w:lineRule="exact" w:line="403" w:before="0" w:after="240"/>
        <w:ind w:right="45" w:hanging="0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Nr 8/2011</w:t>
      </w:r>
    </w:p>
    <w:p>
      <w:pPr>
        <w:pStyle w:val="Normal"/>
        <w:spacing w:lineRule="exact" w:line="388" w:before="0" w:after="120"/>
        <w:ind w:right="45" w:hanging="0"/>
        <w:jc w:val="center"/>
        <w:rPr>
          <w:rFonts w:ascii="Calibri" w:hAnsi="Calibri"/>
          <w:b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z dnia 11 kwietnia 2011 r.</w:t>
      </w:r>
    </w:p>
    <w:p>
      <w:pPr>
        <w:pStyle w:val="Normal"/>
        <w:spacing w:lineRule="exact" w:line="364"/>
        <w:ind w:right="48" w:hanging="0"/>
        <w:jc w:val="center"/>
        <w:rPr>
          <w:rFonts w:ascii="Calibri" w:hAnsi="Calibri"/>
          <w:b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Kierownika Miejskiego Ośrodka Pomocy Społecznej w Cieszynie</w:t>
      </w:r>
    </w:p>
    <w:p>
      <w:pPr>
        <w:pStyle w:val="Normal"/>
        <w:spacing w:lineRule="exact" w:line="364"/>
        <w:ind w:right="48" w:hanging="0"/>
        <w:jc w:val="center"/>
        <w:rPr>
          <w:rFonts w:ascii="Calibri" w:hAnsi="Calibri"/>
          <w:b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 sprawie</w:t>
      </w:r>
    </w:p>
    <w:p>
      <w:pPr>
        <w:pStyle w:val="Normal"/>
        <w:spacing w:lineRule="exact" w:line="364" w:before="360" w:after="0"/>
        <w:ind w:right="48" w:hanging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powołania Komisji Likwidacyjnej Miejskiego Ośrodka Pomocy Społecznej</w:t>
        <w:br/>
        <w:t>w Cieszynie.</w:t>
      </w:r>
    </w:p>
    <w:p>
      <w:pPr>
        <w:pStyle w:val="Normal"/>
        <w:spacing w:before="360" w:after="240"/>
        <w:ind w:right="45" w:hanging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Działając na podstawie art. 26 ustawy z dnia 29 września 1994 r. o rachunkowości oraz § 9 pkt 13 instrukcji inwentarzowej Miejskiego Ośrodka Pomocy Społecznej wprowadzonej zarządzeniem Kierownika MOPS Nr 17/2005 z dnia 15 grudnia 2009 r.</w:t>
      </w:r>
    </w:p>
    <w:p>
      <w:pPr>
        <w:pStyle w:val="Normal"/>
        <w:spacing w:lineRule="exact" w:line="364" w:before="360" w:after="360"/>
        <w:ind w:right="48" w:hanging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postanawia się co następuje:</w:t>
      </w:r>
    </w:p>
    <w:p>
      <w:pPr>
        <w:pStyle w:val="Normal"/>
        <w:spacing w:before="360" w:after="240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§ 1</w:t>
      </w:r>
    </w:p>
    <w:p>
      <w:pPr>
        <w:pStyle w:val="Wcicietrecitekstu"/>
        <w:spacing w:before="240" w:after="120"/>
        <w:jc w:val="both"/>
        <w:rPr>
          <w:rFonts w:ascii="Calibri" w:hAnsi="Calibri"/>
          <w:spacing w:val="6"/>
          <w:sz w:val="28"/>
          <w:szCs w:val="28"/>
        </w:rPr>
      </w:pPr>
      <w:r>
        <w:rPr>
          <w:rFonts w:ascii="Calibri" w:hAnsi="Calibri"/>
          <w:spacing w:val="6"/>
          <w:sz w:val="28"/>
          <w:szCs w:val="28"/>
        </w:rPr>
        <w:t>Powołuję Komisję Likwidacyjną w składzie:</w:t>
      </w:r>
    </w:p>
    <w:p>
      <w:pPr>
        <w:pStyle w:val="Wcicietrecitekstu"/>
        <w:numPr>
          <w:ilvl w:val="0"/>
          <w:numId w:val="1"/>
        </w:numPr>
        <w:tabs>
          <w:tab w:val="left" w:pos="4253" w:leader="none"/>
          <w:tab w:val="left" w:pos="5245" w:leader="none"/>
        </w:tabs>
        <w:spacing w:before="240" w:after="0"/>
        <w:jc w:val="both"/>
        <w:rPr>
          <w:rFonts w:ascii="Calibri" w:hAnsi="Calibri"/>
          <w:spacing w:val="6"/>
          <w:sz w:val="28"/>
          <w:szCs w:val="28"/>
        </w:rPr>
      </w:pPr>
      <w:r>
        <w:rPr>
          <w:rFonts w:ascii="Calibri" w:hAnsi="Calibri"/>
          <w:spacing w:val="6"/>
          <w:sz w:val="28"/>
          <w:szCs w:val="28"/>
        </w:rPr>
        <w:t>Lucyna Lanc – Kasperek</w:t>
        <w:tab/>
        <w:t>–</w:t>
        <w:tab/>
        <w:t xml:space="preserve">przewodniczący Komisji </w:t>
      </w:r>
    </w:p>
    <w:p>
      <w:pPr>
        <w:pStyle w:val="Wcicietrecitekstu"/>
        <w:numPr>
          <w:ilvl w:val="0"/>
          <w:numId w:val="1"/>
        </w:numPr>
        <w:tabs>
          <w:tab w:val="left" w:pos="4253" w:leader="none"/>
          <w:tab w:val="left" w:pos="5245" w:leader="none"/>
        </w:tabs>
        <w:spacing w:before="120" w:after="120"/>
        <w:jc w:val="both"/>
        <w:rPr>
          <w:rFonts w:ascii="Calibri" w:hAnsi="Calibri"/>
          <w:spacing w:val="6"/>
          <w:sz w:val="28"/>
          <w:szCs w:val="28"/>
        </w:rPr>
      </w:pPr>
      <w:r>
        <w:rPr>
          <w:rFonts w:ascii="Calibri" w:hAnsi="Calibri"/>
          <w:spacing w:val="6"/>
          <w:sz w:val="28"/>
          <w:szCs w:val="28"/>
        </w:rPr>
        <w:t>Wojciech Piszczek</w:t>
        <w:tab/>
        <w:t>–</w:t>
        <w:tab/>
        <w:t>członek Komisji</w:t>
      </w:r>
    </w:p>
    <w:p>
      <w:pPr>
        <w:pStyle w:val="Wcicietrecitekstu"/>
        <w:numPr>
          <w:ilvl w:val="0"/>
          <w:numId w:val="1"/>
        </w:numPr>
        <w:tabs>
          <w:tab w:val="left" w:pos="4253" w:leader="none"/>
          <w:tab w:val="left" w:pos="5245" w:leader="none"/>
        </w:tabs>
        <w:spacing w:before="120" w:after="120"/>
        <w:jc w:val="both"/>
        <w:rPr>
          <w:rFonts w:ascii="Calibri" w:hAnsi="Calibri"/>
          <w:spacing w:val="6"/>
          <w:sz w:val="28"/>
          <w:szCs w:val="28"/>
        </w:rPr>
      </w:pPr>
      <w:r>
        <w:rPr>
          <w:rFonts w:ascii="Calibri" w:hAnsi="Calibri"/>
          <w:spacing w:val="6"/>
          <w:sz w:val="28"/>
          <w:szCs w:val="28"/>
        </w:rPr>
        <w:t>Irena Proszkowiec</w:t>
        <w:tab/>
        <w:t>–</w:t>
        <w:tab/>
        <w:t>członek Komisji</w:t>
      </w:r>
    </w:p>
    <w:p>
      <w:pPr>
        <w:pStyle w:val="Normal"/>
        <w:spacing w:before="360" w:after="240"/>
        <w:jc w:val="center"/>
        <w:rPr>
          <w:rFonts w:ascii="Calibri" w:hAnsi="Calibri"/>
          <w:b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§ 2</w:t>
      </w:r>
    </w:p>
    <w:p>
      <w:pPr>
        <w:pStyle w:val="Normal"/>
        <w:spacing w:before="0" w:after="120"/>
        <w:ind w:right="96" w:hanging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Zadaniem Komisji Likwidacyjnej jest likwidacja rzeczowych składników majątku nie nadającego się do eksploatacji.</w:t>
      </w:r>
    </w:p>
    <w:p>
      <w:pPr>
        <w:pStyle w:val="Normal"/>
        <w:keepNext/>
        <w:spacing w:before="360" w:after="240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§ 3</w:t>
      </w:r>
    </w:p>
    <w:p>
      <w:pPr>
        <w:pStyle w:val="Normal"/>
        <w:spacing w:lineRule="exact" w:line="364"/>
        <w:ind w:right="48" w:hanging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Likwidacji podlegają wycofane z eksploatacji rzeczowe składniki majątku, które straciły wartość użytkową ze względu na:</w:t>
      </w:r>
    </w:p>
    <w:p>
      <w:pPr>
        <w:pStyle w:val="ListParagraph"/>
        <w:numPr>
          <w:ilvl w:val="0"/>
          <w:numId w:val="2"/>
        </w:numPr>
        <w:spacing w:lineRule="exact" w:line="364" w:before="120" w:after="0"/>
        <w:ind w:left="720" w:right="48" w:hanging="360"/>
        <w:contextualSpacing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całkowite lub znaczne zużycie,</w:t>
      </w:r>
    </w:p>
    <w:p>
      <w:pPr>
        <w:pStyle w:val="ListParagraph"/>
        <w:numPr>
          <w:ilvl w:val="0"/>
          <w:numId w:val="2"/>
        </w:numPr>
        <w:spacing w:lineRule="exact" w:line="364"/>
        <w:ind w:left="720" w:right="48" w:hanging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zniszczenie na skutek zdarzeń losowych, </w:t>
      </w:r>
    </w:p>
    <w:p>
      <w:pPr>
        <w:pStyle w:val="ListParagraph"/>
        <w:numPr>
          <w:ilvl w:val="0"/>
          <w:numId w:val="2"/>
        </w:numPr>
        <w:spacing w:lineRule="exact" w:line="364"/>
        <w:ind w:left="720" w:right="48" w:hanging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nieopłacalność ich regeneracji z punktu widzenia ekonomicznego,</w:t>
      </w:r>
    </w:p>
    <w:p>
      <w:pPr>
        <w:pStyle w:val="ListParagraph"/>
        <w:numPr>
          <w:ilvl w:val="0"/>
          <w:numId w:val="2"/>
        </w:numPr>
        <w:spacing w:lineRule="exact" w:line="364"/>
        <w:ind w:left="720" w:right="48" w:hanging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przestarzałość techniczną.</w:t>
      </w:r>
    </w:p>
    <w:p>
      <w:pPr>
        <w:pStyle w:val="Normal"/>
        <w:keepNext/>
        <w:spacing w:before="360" w:after="240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§ 4</w:t>
      </w:r>
    </w:p>
    <w:p>
      <w:pPr>
        <w:pStyle w:val="Normal"/>
        <w:spacing w:lineRule="exact" w:line="364"/>
        <w:ind w:right="48" w:hanging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 wykonywanych czynności Komisja Likwidacyjna sporządzi protokół.</w:t>
      </w:r>
    </w:p>
    <w:p>
      <w:pPr>
        <w:pStyle w:val="Normal"/>
        <w:keepNext/>
        <w:spacing w:before="360" w:after="240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§ 5</w:t>
      </w:r>
    </w:p>
    <w:p>
      <w:pPr>
        <w:pStyle w:val="Normal"/>
        <w:spacing w:lineRule="exact" w:line="364"/>
        <w:ind w:right="48" w:hanging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Zarządzenie wchodzi w życie z dniem podjęcia.</w:t>
      </w:r>
    </w:p>
    <w:p>
      <w:pPr>
        <w:pStyle w:val="Normal"/>
        <w:spacing w:before="0" w:after="120"/>
        <w:ind w:right="96" w:hanging="0"/>
        <w:jc w:val="both"/>
        <w:rPr/>
      </w:pPr>
      <w:r>
        <w:rPr/>
      </w:r>
    </w:p>
    <w:sectPr>
      <w:type w:val="nextPage"/>
      <w:pgSz w:w="12240" w:h="15840"/>
      <w:pgMar w:left="1418" w:right="1418" w:header="0" w:top="1134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10a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010a8"/>
    <w:rPr/>
  </w:style>
  <w:style w:type="character" w:styleId="WWAbsatzStandardschriftart" w:customStyle="1">
    <w:name w:val="WW-Absatz-Standardschriftart"/>
    <w:qFormat/>
    <w:rsid w:val="00f010a8"/>
    <w:rPr/>
  </w:style>
  <w:style w:type="character" w:styleId="WWAbsatzStandardschriftart1" w:customStyle="1">
    <w:name w:val="WW-Absatz-Standardschriftart1"/>
    <w:qFormat/>
    <w:rsid w:val="00f010a8"/>
    <w:rPr/>
  </w:style>
  <w:style w:type="character" w:styleId="WWAbsatzStandardschriftart11" w:customStyle="1">
    <w:name w:val="WW-Absatz-Standardschriftart11"/>
    <w:qFormat/>
    <w:rsid w:val="00f010a8"/>
    <w:rPr/>
  </w:style>
  <w:style w:type="character" w:styleId="Domylnaczcionkaakapitu1" w:customStyle="1">
    <w:name w:val="Domyślna czcionka akapitu1"/>
    <w:qFormat/>
    <w:rsid w:val="00f010a8"/>
    <w:rPr/>
  </w:style>
  <w:style w:type="character" w:styleId="WWDomylnaczcionkaakapitu" w:customStyle="1">
    <w:name w:val="WW-Domyślna czcionka akapitu"/>
    <w:qFormat/>
    <w:rsid w:val="00f010a8"/>
    <w:rPr/>
  </w:style>
  <w:style w:type="character" w:styleId="Znakinumeracji" w:customStyle="1">
    <w:name w:val="Znaki numeracji"/>
    <w:qFormat/>
    <w:rsid w:val="00f010a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57b97"/>
    <w:rPr>
      <w:rFonts w:ascii="Tahoma" w:hAnsi="Tahoma" w:cs="Tahoma"/>
      <w:sz w:val="16"/>
      <w:szCs w:val="16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fc0dc1"/>
    <w:rPr>
      <w:sz w:val="24"/>
      <w:szCs w:val="24"/>
      <w:lang w:eastAsia="ar-SA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9b6752"/>
    <w:rPr>
      <w:sz w:val="16"/>
      <w:szCs w:val="16"/>
      <w:lang w:eastAsia="ar-SA"/>
    </w:rPr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Tretekstu">
    <w:name w:val="Treść tekstu"/>
    <w:basedOn w:val="Normal"/>
    <w:semiHidden/>
    <w:rsid w:val="00f010a8"/>
    <w:pPr>
      <w:spacing w:before="0" w:after="120"/>
    </w:pPr>
    <w:rPr/>
  </w:style>
  <w:style w:type="paragraph" w:styleId="Lista">
    <w:name w:val="Lista"/>
    <w:basedOn w:val="Tretekstu"/>
    <w:semiHidden/>
    <w:rsid w:val="00f010a8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010a8"/>
    <w:pPr>
      <w:suppressLineNumbers/>
    </w:pPr>
    <w:rPr>
      <w:rFonts w:cs="Tahoma"/>
    </w:rPr>
  </w:style>
  <w:style w:type="paragraph" w:styleId="Nagwek1" w:customStyle="1">
    <w:name w:val="Nagłówek1"/>
    <w:basedOn w:val="Normal"/>
    <w:qFormat/>
    <w:rsid w:val="00f010a8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qFormat/>
    <w:rsid w:val="00f010a8"/>
    <w:pPr>
      <w:suppressLineNumbers/>
      <w:spacing w:before="120" w:after="120"/>
    </w:pPr>
    <w:rPr>
      <w:rFonts w:cs="Tahoma"/>
      <w:i/>
      <w:iCs/>
    </w:rPr>
  </w:style>
  <w:style w:type="paragraph" w:styleId="Gwka">
    <w:name w:val="Główka"/>
    <w:basedOn w:val="Normal"/>
    <w:semiHidden/>
    <w:rsid w:val="00f010a8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ygnatura">
    <w:name w:val="Sygnatura"/>
    <w:basedOn w:val="Normal"/>
    <w:semiHidden/>
    <w:rsid w:val="00f010a8"/>
    <w:pPr>
      <w:suppressLineNumbers/>
      <w:spacing w:before="120" w:after="120"/>
    </w:pPr>
    <w:rPr>
      <w:rFonts w:cs="Tahoma"/>
      <w:i/>
      <w:iCs/>
    </w:rPr>
  </w:style>
  <w:style w:type="paragraph" w:styleId="Nagwekstrony" w:customStyle="1">
    <w:name w:val="Nagłówek strony"/>
    <w:basedOn w:val="Normal"/>
    <w:qFormat/>
    <w:rsid w:val="00f010a8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semiHidden/>
    <w:rsid w:val="00f010a8"/>
    <w:pPr>
      <w:tabs>
        <w:tab w:val="center" w:pos="4536" w:leader="none"/>
        <w:tab w:val="right" w:pos="9072" w:leader="none"/>
      </w:tabs>
    </w:pPr>
    <w:rPr/>
  </w:style>
  <w:style w:type="paragraph" w:styleId="Tekstpodstawowywcity21" w:customStyle="1">
    <w:name w:val="Tekst podstawowy wcięty 21"/>
    <w:basedOn w:val="Normal"/>
    <w:qFormat/>
    <w:rsid w:val="00f010a8"/>
    <w:pPr>
      <w:ind w:left="900" w:hanging="540"/>
      <w:jc w:val="both"/>
    </w:pPr>
    <w:rPr/>
  </w:style>
  <w:style w:type="paragraph" w:styleId="Tekstpodstawowywcity31" w:customStyle="1">
    <w:name w:val="Tekst podstawowy wcięty 31"/>
    <w:basedOn w:val="Normal"/>
    <w:qFormat/>
    <w:rsid w:val="00f010a8"/>
    <w:pPr>
      <w:ind w:left="360" w:firstLine="540"/>
      <w:jc w:val="both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7b97"/>
    <w:pPr/>
    <w:rPr>
      <w:rFonts w:ascii="Tahoma" w:hAnsi="Tahoma" w:cs="Tahoma"/>
      <w:sz w:val="16"/>
      <w:szCs w:val="16"/>
    </w:rPr>
  </w:style>
  <w:style w:type="paragraph" w:styleId="Wcicietrecitekstu">
    <w:name w:val="Wcięcie treści tekstu"/>
    <w:basedOn w:val="Normal"/>
    <w:link w:val="TekstpodstawowywcityZnak"/>
    <w:uiPriority w:val="99"/>
    <w:unhideWhenUsed/>
    <w:rsid w:val="00fc0dc1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9b675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b675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E1FC-AED9-4810-9B7F-5FCD8CA8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25</Paragraphs>
  <Company>\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2011-04-20T07:00:00Z</dcterms:created>
  <dc:creator>Fred</dc:creator>
  <dc:language>pl-PL</dc:language>
  <cp:lastModifiedBy>KIEROWNIK</cp:lastModifiedBy>
  <cp:lastPrinted>2011-04-20T06:59:00Z</cp:lastPrinted>
  <dcterms:modified xsi:type="dcterms:W3CDTF">2011-04-20T07:01:00Z</dcterms:modified>
  <cp:revision>3</cp:revision>
  <dc:title>ZARZĄDZENIE NR MOPS …/04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\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